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142" w:type="dxa"/>
        <w:tblLayout w:type="fixed"/>
        <w:tblCellMar>
          <w:left w:w="0" w:type="dxa"/>
          <w:right w:w="0" w:type="dxa"/>
        </w:tblCellMar>
        <w:tblLook w:val="01E0" w:firstRow="1" w:lastRow="1" w:firstColumn="1" w:lastColumn="1" w:noHBand="0" w:noVBand="0"/>
      </w:tblPr>
      <w:tblGrid>
        <w:gridCol w:w="8142"/>
      </w:tblGrid>
      <w:tr w:rsidR="00946406" w:rsidRPr="00444F0F" w14:paraId="4ECFA911" w14:textId="77777777" w:rsidTr="007455D1">
        <w:trPr>
          <w:trHeight w:val="993"/>
        </w:trPr>
        <w:tc>
          <w:tcPr>
            <w:tcW w:w="8142" w:type="dxa"/>
          </w:tcPr>
          <w:p w14:paraId="58BFBD57" w14:textId="77777777" w:rsidR="00946406" w:rsidRPr="00444F0F" w:rsidRDefault="00946406" w:rsidP="007455D1">
            <w:pPr>
              <w:spacing w:line="240" w:lineRule="auto"/>
              <w:rPr>
                <w:b/>
                <w:sz w:val="14"/>
                <w:szCs w:val="14"/>
              </w:rPr>
            </w:pPr>
          </w:p>
        </w:tc>
      </w:tr>
    </w:tbl>
    <w:p w14:paraId="0F95D1B0" w14:textId="5247C670" w:rsidR="00C12F71" w:rsidRPr="0018043B" w:rsidRDefault="00E50D49" w:rsidP="00F54E58">
      <w:pPr>
        <w:pStyle w:val="ForsideOverSkriftGr"/>
        <w:ind w:left="0"/>
        <w:rPr>
          <w:rFonts w:ascii="Verdana" w:hAnsi="Verdana"/>
          <w:lang w:val="da-DK"/>
        </w:rPr>
      </w:pPr>
      <w:r>
        <w:rPr>
          <w:rFonts w:ascii="Verdana" w:eastAsia="Verdana" w:hAnsi="Verdana" w:cs="Verdana"/>
          <w:lang w:val="da-DK" w:bidi="da-DK"/>
        </w:rPr>
        <w:t>Vederlags</w:t>
      </w:r>
      <w:r w:rsidR="00735492" w:rsidRPr="00444F0F">
        <w:rPr>
          <w:rFonts w:ascii="Verdana" w:eastAsia="Verdana" w:hAnsi="Verdana" w:cs="Verdana"/>
          <w:lang w:val="da-DK" w:bidi="da-DK"/>
        </w:rPr>
        <w:t>politik</w:t>
      </w:r>
    </w:p>
    <w:p w14:paraId="0199FE9E" w14:textId="77777777" w:rsidR="00C12F71" w:rsidRPr="0018043B" w:rsidRDefault="00C12F71" w:rsidP="00F54E58">
      <w:pPr>
        <w:pStyle w:val="ForsideUnderOverSkriftGr"/>
        <w:ind w:firstLine="822"/>
        <w:rPr>
          <w:rFonts w:ascii="Verdana" w:hAnsi="Verdana"/>
          <w:lang w:val="da-DK"/>
        </w:rPr>
      </w:pPr>
      <w:r w:rsidRPr="00444F0F">
        <w:rPr>
          <w:rFonts w:ascii="Verdana" w:eastAsia="Verdana" w:hAnsi="Verdana" w:cs="Verdana"/>
          <w:lang w:val="da-DK" w:bidi="da-DK"/>
        </w:rPr>
        <w:t>FLSmidth &amp; Co. A/S</w:t>
      </w:r>
    </w:p>
    <w:p w14:paraId="0BC9B749" w14:textId="766E9EFD" w:rsidR="004F07D3" w:rsidRPr="0018043B" w:rsidRDefault="004F07D3" w:rsidP="004F07D3">
      <w:pPr>
        <w:pStyle w:val="Heading1"/>
        <w:spacing w:line="240" w:lineRule="atLeast"/>
        <w:ind w:left="822"/>
        <w:rPr>
          <w:lang w:val="da-DK" w:eastAsia="en-GB"/>
        </w:rPr>
      </w:pPr>
    </w:p>
    <w:p w14:paraId="0CD64B65" w14:textId="1417225C" w:rsidR="003B0E1F" w:rsidRPr="0018043B" w:rsidRDefault="003B0E1F" w:rsidP="003B0E1F">
      <w:pPr>
        <w:rPr>
          <w:lang w:val="da-DK" w:eastAsia="en-GB"/>
        </w:rPr>
      </w:pPr>
    </w:p>
    <w:p w14:paraId="568DCD88" w14:textId="1912B765" w:rsidR="003B0E1F" w:rsidRPr="0018043B" w:rsidRDefault="003B0E1F" w:rsidP="003B0E1F">
      <w:pPr>
        <w:rPr>
          <w:lang w:val="da-DK" w:eastAsia="en-GB"/>
        </w:rPr>
      </w:pPr>
    </w:p>
    <w:p w14:paraId="7E126120" w14:textId="2224F4C0" w:rsidR="003B0E1F" w:rsidRPr="0018043B" w:rsidRDefault="003B0E1F" w:rsidP="003B0E1F">
      <w:pPr>
        <w:rPr>
          <w:lang w:val="da-DK" w:eastAsia="en-GB"/>
        </w:rPr>
      </w:pPr>
    </w:p>
    <w:p w14:paraId="7ECE216B" w14:textId="44E50480" w:rsidR="003B0E1F" w:rsidRPr="0018043B" w:rsidRDefault="003B0E1F" w:rsidP="003B0E1F">
      <w:pPr>
        <w:rPr>
          <w:lang w:val="da-DK" w:eastAsia="en-GB"/>
        </w:rPr>
      </w:pPr>
    </w:p>
    <w:p w14:paraId="20EA7B71" w14:textId="5E8E68D4" w:rsidR="003B0E1F" w:rsidRPr="0018043B" w:rsidRDefault="003B0E1F" w:rsidP="003B0E1F">
      <w:pPr>
        <w:rPr>
          <w:lang w:val="da-DK" w:eastAsia="en-GB"/>
        </w:rPr>
      </w:pPr>
    </w:p>
    <w:p w14:paraId="1858717F" w14:textId="1406DEDF" w:rsidR="003B0E1F" w:rsidRPr="0018043B" w:rsidRDefault="003B0E1F" w:rsidP="003B0E1F">
      <w:pPr>
        <w:rPr>
          <w:lang w:val="da-DK" w:eastAsia="en-GB"/>
        </w:rPr>
      </w:pPr>
    </w:p>
    <w:p w14:paraId="13F5BB73" w14:textId="1D6A7A39" w:rsidR="003B0E1F" w:rsidRPr="003B0E1F" w:rsidRDefault="003B0E1F" w:rsidP="003B0E1F">
      <w:pPr>
        <w:rPr>
          <w:rFonts w:eastAsia="Verdana" w:cs="Verdana"/>
          <w:color w:val="5F5F5D"/>
          <w:sz w:val="24"/>
          <w:lang w:val="da-DK" w:eastAsia="en-GB" w:bidi="da-DK"/>
        </w:rPr>
      </w:pPr>
      <w:r w:rsidRPr="003B0E1F">
        <w:rPr>
          <w:rFonts w:eastAsia="Verdana" w:cs="Verdana"/>
          <w:color w:val="5F5F5D"/>
          <w:sz w:val="24"/>
          <w:lang w:val="da-DK" w:eastAsia="en-GB" w:bidi="da-DK"/>
        </w:rPr>
        <w:t>Dette do</w:t>
      </w:r>
      <w:r w:rsidR="00800587">
        <w:rPr>
          <w:rFonts w:eastAsia="Verdana" w:cs="Verdana"/>
          <w:color w:val="5F5F5D"/>
          <w:sz w:val="24"/>
          <w:lang w:val="da-DK" w:eastAsia="en-GB" w:bidi="da-DK"/>
        </w:rPr>
        <w:t>k</w:t>
      </w:r>
      <w:r w:rsidRPr="003B0E1F">
        <w:rPr>
          <w:rFonts w:eastAsia="Verdana" w:cs="Verdana"/>
          <w:color w:val="5F5F5D"/>
          <w:sz w:val="24"/>
          <w:lang w:val="da-DK" w:eastAsia="en-GB" w:bidi="da-DK"/>
        </w:rPr>
        <w:t xml:space="preserve">ument er en oversættelse af FLSmidth </w:t>
      </w:r>
      <w:r w:rsidR="00236F90">
        <w:rPr>
          <w:rFonts w:eastAsia="Verdana" w:cs="Verdana"/>
          <w:color w:val="5F5F5D"/>
          <w:sz w:val="24"/>
          <w:lang w:val="da-DK" w:eastAsia="en-GB" w:bidi="da-DK"/>
        </w:rPr>
        <w:t>&amp;</w:t>
      </w:r>
      <w:r w:rsidR="00236F90" w:rsidRPr="003B0E1F">
        <w:rPr>
          <w:rFonts w:eastAsia="Verdana" w:cs="Verdana"/>
          <w:color w:val="5F5F5D"/>
          <w:sz w:val="24"/>
          <w:lang w:val="da-DK" w:eastAsia="en-GB" w:bidi="da-DK"/>
        </w:rPr>
        <w:t xml:space="preserve"> </w:t>
      </w:r>
      <w:r w:rsidRPr="003B0E1F">
        <w:rPr>
          <w:rFonts w:eastAsia="Verdana" w:cs="Verdana"/>
          <w:color w:val="5F5F5D"/>
          <w:sz w:val="24"/>
          <w:lang w:val="da-DK" w:eastAsia="en-GB" w:bidi="da-DK"/>
        </w:rPr>
        <w:t xml:space="preserve">Co. A/S’ Remuneration Policy. </w:t>
      </w:r>
    </w:p>
    <w:p w14:paraId="66A0BA4C" w14:textId="18DFA1F2" w:rsidR="003B0E1F" w:rsidRPr="003B0E1F" w:rsidRDefault="003B0E1F" w:rsidP="003B0E1F">
      <w:pPr>
        <w:rPr>
          <w:rFonts w:eastAsia="Verdana" w:cs="Verdana"/>
          <w:color w:val="5F5F5D"/>
          <w:sz w:val="24"/>
          <w:lang w:val="da-DK" w:eastAsia="en-GB" w:bidi="da-DK"/>
        </w:rPr>
      </w:pPr>
      <w:r w:rsidRPr="003B0E1F">
        <w:rPr>
          <w:rFonts w:eastAsia="Verdana" w:cs="Verdana"/>
          <w:color w:val="5F5F5D"/>
          <w:sz w:val="24"/>
          <w:lang w:val="da-DK" w:eastAsia="en-GB" w:bidi="da-DK"/>
        </w:rPr>
        <w:t>Ved tvivlstilfælde vil det altid være den engelske version</w:t>
      </w:r>
      <w:r w:rsidR="00C17BD6">
        <w:rPr>
          <w:rFonts w:eastAsia="Verdana" w:cs="Verdana"/>
          <w:color w:val="5F5F5D"/>
          <w:sz w:val="24"/>
          <w:lang w:val="da-DK" w:eastAsia="en-GB" w:bidi="da-DK"/>
        </w:rPr>
        <w:t>,</w:t>
      </w:r>
      <w:r w:rsidRPr="003B0E1F">
        <w:rPr>
          <w:rFonts w:eastAsia="Verdana" w:cs="Verdana"/>
          <w:color w:val="5F5F5D"/>
          <w:sz w:val="24"/>
          <w:lang w:val="da-DK" w:eastAsia="en-GB" w:bidi="da-DK"/>
        </w:rPr>
        <w:t xml:space="preserve"> der er den gældende.  </w:t>
      </w:r>
    </w:p>
    <w:p w14:paraId="548934BA" w14:textId="0D917EFA" w:rsidR="00C12F71" w:rsidRDefault="00C12F71" w:rsidP="00C12F71">
      <w:pPr>
        <w:pStyle w:val="Heading1"/>
        <w:numPr>
          <w:ilvl w:val="0"/>
          <w:numId w:val="3"/>
        </w:numPr>
        <w:spacing w:line="240" w:lineRule="atLeast"/>
        <w:rPr>
          <w:lang w:eastAsia="en-GB"/>
        </w:rPr>
      </w:pPr>
      <w:r w:rsidRPr="003B0E1F">
        <w:rPr>
          <w:rFonts w:eastAsia="Verdana" w:cs="Verdana"/>
          <w:b w:val="0"/>
          <w:bCs w:val="0"/>
          <w:color w:val="5F5F5D"/>
          <w:kern w:val="0"/>
          <w:sz w:val="24"/>
          <w:szCs w:val="24"/>
          <w:lang w:val="da-DK" w:eastAsia="en-GB" w:bidi="da-DK"/>
        </w:rPr>
        <w:br w:type="page"/>
      </w:r>
      <w:r w:rsidRPr="00444F0F">
        <w:rPr>
          <w:lang w:val="da-DK" w:bidi="da-DK"/>
        </w:rPr>
        <w:lastRenderedPageBreak/>
        <w:t>Indledning</w:t>
      </w:r>
    </w:p>
    <w:p w14:paraId="21C0F94A" w14:textId="77777777" w:rsidR="00E764A0" w:rsidRPr="00E764A0" w:rsidRDefault="00E764A0" w:rsidP="00E764A0">
      <w:pPr>
        <w:rPr>
          <w:lang w:eastAsia="en-GB"/>
        </w:rPr>
      </w:pPr>
    </w:p>
    <w:p w14:paraId="2EB8944F" w14:textId="5AF37F77" w:rsidR="00C12F71" w:rsidRPr="003B0E1F" w:rsidRDefault="00735492" w:rsidP="00962F6C">
      <w:pPr>
        <w:pStyle w:val="Heading2"/>
        <w:ind w:left="822"/>
        <w:jc w:val="both"/>
        <w:rPr>
          <w:b w:val="0"/>
          <w:lang w:val="da-DK"/>
        </w:rPr>
      </w:pPr>
      <w:r w:rsidRPr="00444F0F">
        <w:rPr>
          <w:b w:val="0"/>
          <w:lang w:val="da-DK" w:bidi="da-DK"/>
        </w:rPr>
        <w:t xml:space="preserve">Denne </w:t>
      </w:r>
      <w:r w:rsidR="00E50D49">
        <w:rPr>
          <w:b w:val="0"/>
          <w:lang w:val="da-DK" w:bidi="da-DK"/>
        </w:rPr>
        <w:t>vederlagspolitik</w:t>
      </w:r>
      <w:r w:rsidRPr="00444F0F">
        <w:rPr>
          <w:b w:val="0"/>
          <w:lang w:val="da-DK" w:bidi="da-DK"/>
        </w:rPr>
        <w:t xml:space="preserve"> beskriver rammerne for den samlede aflønning af bestyrelsen og koncerndirektionen i FLSmidth &amp; Co. A/S (‘FLSmidth’ eller ‘Selskabet’) i henhold til Selskabslovens § 139 og 139(a). Koncerndirektionen er de ledende medarbejdere, der er registreret hos Selskabsstyrelsen som direktionsmedlemmer i FLSmidth. Denne politik gælder kun disse ledende medarbejdere. </w:t>
      </w:r>
    </w:p>
    <w:p w14:paraId="7A1E567D" w14:textId="77777777" w:rsidR="00C12F71" w:rsidRPr="003B0E1F" w:rsidRDefault="00C12F71" w:rsidP="00962F6C">
      <w:pPr>
        <w:pStyle w:val="Heading2"/>
        <w:ind w:left="822"/>
        <w:jc w:val="both"/>
        <w:rPr>
          <w:b w:val="0"/>
          <w:lang w:val="da-DK"/>
        </w:rPr>
      </w:pPr>
    </w:p>
    <w:p w14:paraId="78E8F7A9" w14:textId="4ABBE69C" w:rsidR="00C12F71" w:rsidRPr="003B0E1F" w:rsidRDefault="00E50D49" w:rsidP="00962F6C">
      <w:pPr>
        <w:pStyle w:val="Heading2"/>
        <w:ind w:left="822"/>
        <w:jc w:val="both"/>
        <w:rPr>
          <w:b w:val="0"/>
          <w:lang w:val="da-DK"/>
        </w:rPr>
      </w:pPr>
      <w:r>
        <w:rPr>
          <w:b w:val="0"/>
          <w:lang w:val="da-DK" w:bidi="da-DK"/>
        </w:rPr>
        <w:t>Vederlagspolitik</w:t>
      </w:r>
      <w:r w:rsidR="00B0674B">
        <w:rPr>
          <w:b w:val="0"/>
          <w:lang w:val="da-DK" w:bidi="da-DK"/>
        </w:rPr>
        <w:t xml:space="preserve">ken er godkendt af bestyrelsen inden fremlæggelse til godkendelse på FLSmidths ordinære generalforsamling den </w:t>
      </w:r>
      <w:r w:rsidR="00740E1D">
        <w:rPr>
          <w:b w:val="0"/>
          <w:lang w:val="da-DK" w:bidi="da-DK"/>
        </w:rPr>
        <w:t>26. juni</w:t>
      </w:r>
      <w:r w:rsidR="00B0674B">
        <w:rPr>
          <w:b w:val="0"/>
          <w:lang w:val="da-DK" w:bidi="da-DK"/>
        </w:rPr>
        <w:t xml:space="preserve"> 2020. </w:t>
      </w:r>
    </w:p>
    <w:p w14:paraId="1C721126" w14:textId="77777777" w:rsidR="00F94FBB" w:rsidRPr="003B0E1F" w:rsidRDefault="00F94FBB" w:rsidP="00962F6C">
      <w:pPr>
        <w:jc w:val="both"/>
        <w:rPr>
          <w:lang w:val="da-DK"/>
        </w:rPr>
      </w:pPr>
    </w:p>
    <w:p w14:paraId="5F0890EE" w14:textId="77777777" w:rsidR="001B7BF3" w:rsidRPr="003B0E1F" w:rsidRDefault="001B7BF3" w:rsidP="00962F6C">
      <w:pPr>
        <w:pStyle w:val="Heading2"/>
        <w:ind w:left="822"/>
        <w:jc w:val="both"/>
        <w:rPr>
          <w:b w:val="0"/>
          <w:lang w:val="da-DK"/>
        </w:rPr>
      </w:pPr>
    </w:p>
    <w:p w14:paraId="66ACE827" w14:textId="77777777" w:rsidR="00237107" w:rsidRPr="00444F0F" w:rsidRDefault="00237107" w:rsidP="00962F6C">
      <w:pPr>
        <w:pStyle w:val="Heading1"/>
        <w:numPr>
          <w:ilvl w:val="0"/>
          <w:numId w:val="3"/>
        </w:numPr>
        <w:spacing w:line="240" w:lineRule="atLeast"/>
        <w:jc w:val="both"/>
      </w:pPr>
      <w:r w:rsidRPr="00444F0F">
        <w:rPr>
          <w:lang w:val="da-DK" w:bidi="da-DK"/>
        </w:rPr>
        <w:t>Generelle principper</w:t>
      </w:r>
    </w:p>
    <w:p w14:paraId="12531D60" w14:textId="77777777" w:rsidR="00A04868" w:rsidRPr="00444F0F" w:rsidRDefault="00A04868" w:rsidP="00962F6C">
      <w:pPr>
        <w:jc w:val="both"/>
      </w:pPr>
    </w:p>
    <w:p w14:paraId="199AB35C" w14:textId="77777777" w:rsidR="00A47F44" w:rsidRPr="00444F0F" w:rsidRDefault="00A47F44" w:rsidP="00962F6C">
      <w:pPr>
        <w:pStyle w:val="Heading2"/>
        <w:numPr>
          <w:ilvl w:val="1"/>
          <w:numId w:val="3"/>
        </w:numPr>
        <w:spacing w:line="240" w:lineRule="atLeast"/>
        <w:jc w:val="both"/>
      </w:pPr>
      <w:r w:rsidRPr="00444F0F">
        <w:rPr>
          <w:lang w:val="da-DK" w:bidi="da-DK"/>
        </w:rPr>
        <w:t xml:space="preserve">Formål </w:t>
      </w:r>
    </w:p>
    <w:p w14:paraId="41778D58" w14:textId="07CDAEA1" w:rsidR="00FC3803" w:rsidRPr="003B0E1F" w:rsidRDefault="00A47F44" w:rsidP="00962F6C">
      <w:pPr>
        <w:pStyle w:val="Heading2"/>
        <w:ind w:left="822"/>
        <w:jc w:val="both"/>
        <w:rPr>
          <w:b w:val="0"/>
          <w:lang w:val="da-DK"/>
        </w:rPr>
      </w:pPr>
      <w:r w:rsidRPr="00444F0F">
        <w:rPr>
          <w:b w:val="0"/>
          <w:lang w:val="da-DK" w:bidi="da-DK"/>
        </w:rPr>
        <w:t xml:space="preserve">Det overordnede formål med </w:t>
      </w:r>
      <w:r w:rsidR="00E50D49">
        <w:rPr>
          <w:b w:val="0"/>
          <w:lang w:val="da-DK" w:bidi="da-DK"/>
        </w:rPr>
        <w:t>vederlagspolitik</w:t>
      </w:r>
      <w:r w:rsidRPr="00444F0F">
        <w:rPr>
          <w:b w:val="0"/>
          <w:lang w:val="da-DK" w:bidi="da-DK"/>
        </w:rPr>
        <w:t xml:space="preserve">ken er at beskrive den samlede aflønningsramme, der tilbydes bestyrelsen og koncerndirektionen i FLSmidth. Sammen med den årlige aflønningsrapport sikrer </w:t>
      </w:r>
      <w:r w:rsidR="00E50D49">
        <w:rPr>
          <w:b w:val="0"/>
          <w:lang w:val="da-DK" w:bidi="da-DK"/>
        </w:rPr>
        <w:t>vederlagspolitik</w:t>
      </w:r>
      <w:r w:rsidRPr="00444F0F">
        <w:rPr>
          <w:b w:val="0"/>
          <w:lang w:val="da-DK" w:bidi="da-DK"/>
        </w:rPr>
        <w:t xml:space="preserve">ken gennemsigtighed over for interessenterne i forhold til de forskellige elementer i den samlede aflønningsramme og anvendelsen af denne.    </w:t>
      </w:r>
    </w:p>
    <w:p w14:paraId="22764E80" w14:textId="77777777" w:rsidR="00FC3803" w:rsidRPr="003B0E1F" w:rsidRDefault="00FC3803" w:rsidP="00962F6C">
      <w:pPr>
        <w:pStyle w:val="Heading2"/>
        <w:ind w:left="822"/>
        <w:jc w:val="both"/>
        <w:rPr>
          <w:b w:val="0"/>
          <w:lang w:val="da-DK"/>
        </w:rPr>
      </w:pPr>
    </w:p>
    <w:p w14:paraId="2FAE3CB3" w14:textId="39038F7C" w:rsidR="00EA0E86" w:rsidRPr="003B0E1F" w:rsidRDefault="00E50D49" w:rsidP="00962F6C">
      <w:pPr>
        <w:pStyle w:val="Heading2"/>
        <w:ind w:left="822"/>
        <w:jc w:val="both"/>
        <w:rPr>
          <w:b w:val="0"/>
          <w:lang w:val="da-DK"/>
        </w:rPr>
      </w:pPr>
      <w:r>
        <w:rPr>
          <w:b w:val="0"/>
          <w:lang w:val="da-DK" w:bidi="da-DK"/>
        </w:rPr>
        <w:t>Vederlagspolitik</w:t>
      </w:r>
      <w:r w:rsidR="00547E25">
        <w:rPr>
          <w:b w:val="0"/>
          <w:lang w:val="da-DK" w:bidi="da-DK"/>
        </w:rPr>
        <w:t xml:space="preserve">ken og den samlede aflønningsramme skal gøre det muligt for FLSmidth at tiltrække, motivere og fastholde et </w:t>
      </w:r>
      <w:r w:rsidR="00177D74">
        <w:rPr>
          <w:b w:val="0"/>
          <w:lang w:val="da-DK" w:bidi="da-DK"/>
        </w:rPr>
        <w:t>alsidigt hold</w:t>
      </w:r>
      <w:r w:rsidR="00547E25">
        <w:rPr>
          <w:b w:val="0"/>
          <w:lang w:val="da-DK" w:bidi="da-DK"/>
        </w:rPr>
        <w:t xml:space="preserve"> af højt kvalificerede medlemmer af bestyrelsen og koncerndirektionen. Den samlede aflønningsramme skal til enhver tid bidrage til FLSmidths bestræbelser på og evne til at skabe kortsigtet og langsigtet værdi for aktionærerne via gennemførelse af en effektiv forretningsstrategi og høj </w:t>
      </w:r>
      <w:r w:rsidR="00177D74">
        <w:rPr>
          <w:b w:val="0"/>
          <w:lang w:val="da-DK" w:bidi="da-DK"/>
        </w:rPr>
        <w:t>præstation</w:t>
      </w:r>
      <w:r w:rsidR="00547E25">
        <w:rPr>
          <w:b w:val="0"/>
          <w:lang w:val="da-DK" w:bidi="da-DK"/>
        </w:rPr>
        <w:t xml:space="preserve">. </w:t>
      </w:r>
    </w:p>
    <w:p w14:paraId="4A5B5B58" w14:textId="77777777" w:rsidR="00EA0E86" w:rsidRPr="003B0E1F" w:rsidRDefault="00EA0E86" w:rsidP="00962F6C">
      <w:pPr>
        <w:pStyle w:val="Heading2"/>
        <w:ind w:left="822"/>
        <w:jc w:val="both"/>
        <w:rPr>
          <w:b w:val="0"/>
          <w:lang w:val="da-DK"/>
        </w:rPr>
      </w:pPr>
    </w:p>
    <w:p w14:paraId="2DCC2147" w14:textId="326C343F" w:rsidR="00A47F44" w:rsidRPr="003B0E1F" w:rsidRDefault="00A77A04" w:rsidP="00962F6C">
      <w:pPr>
        <w:pStyle w:val="Heading2"/>
        <w:ind w:left="822"/>
        <w:jc w:val="both"/>
        <w:rPr>
          <w:b w:val="0"/>
          <w:lang w:val="da-DK"/>
        </w:rPr>
      </w:pPr>
      <w:r>
        <w:rPr>
          <w:b w:val="0"/>
          <w:lang w:val="da-DK" w:bidi="da-DK"/>
        </w:rPr>
        <w:t xml:space="preserve">Endelig skal </w:t>
      </w:r>
      <w:r w:rsidR="00E50D49">
        <w:rPr>
          <w:b w:val="0"/>
          <w:lang w:val="da-DK" w:bidi="da-DK"/>
        </w:rPr>
        <w:t>vederlagspolitik</w:t>
      </w:r>
      <w:r>
        <w:rPr>
          <w:b w:val="0"/>
          <w:lang w:val="da-DK" w:bidi="da-DK"/>
        </w:rPr>
        <w:t xml:space="preserve">ken og den samlede aflønningsramme tilskynde bestyrelsen og koncerndirektionen til at udvise velafbalanceret og holdbar ledelse af FLSmidth. </w:t>
      </w:r>
    </w:p>
    <w:p w14:paraId="0B256043" w14:textId="77777777" w:rsidR="00233490" w:rsidRPr="003B0E1F" w:rsidRDefault="00233490" w:rsidP="00962F6C">
      <w:pPr>
        <w:jc w:val="both"/>
        <w:rPr>
          <w:lang w:val="da-DK"/>
        </w:rPr>
      </w:pPr>
    </w:p>
    <w:p w14:paraId="33EA980C" w14:textId="77777777" w:rsidR="00A47F44" w:rsidRPr="003B0E1F" w:rsidRDefault="00A47F44" w:rsidP="00962F6C">
      <w:pPr>
        <w:jc w:val="both"/>
        <w:rPr>
          <w:lang w:val="da-DK"/>
        </w:rPr>
      </w:pPr>
    </w:p>
    <w:p w14:paraId="49D7D68E" w14:textId="77777777" w:rsidR="002E72FE" w:rsidRDefault="002E72FE" w:rsidP="00962F6C">
      <w:pPr>
        <w:pStyle w:val="Heading2"/>
        <w:numPr>
          <w:ilvl w:val="1"/>
          <w:numId w:val="3"/>
        </w:numPr>
        <w:spacing w:line="240" w:lineRule="atLeast"/>
        <w:jc w:val="both"/>
      </w:pPr>
      <w:bookmarkStart w:id="0" w:name="_Hlk23947840"/>
      <w:r>
        <w:rPr>
          <w:lang w:val="da-DK" w:bidi="da-DK"/>
        </w:rPr>
        <w:t>Strategi og bæredygtighed</w:t>
      </w:r>
    </w:p>
    <w:p w14:paraId="784EE963" w14:textId="77777777" w:rsidR="00962F6C" w:rsidRPr="003B0E1F" w:rsidRDefault="00962F6C" w:rsidP="00962F6C">
      <w:pPr>
        <w:pStyle w:val="Heading2"/>
        <w:ind w:left="822"/>
        <w:jc w:val="both"/>
        <w:rPr>
          <w:b w:val="0"/>
          <w:lang w:val="da-DK"/>
        </w:rPr>
      </w:pPr>
      <w:r w:rsidRPr="00EA2E4A">
        <w:rPr>
          <w:b w:val="0"/>
          <w:lang w:val="da-DK" w:bidi="da-DK"/>
        </w:rPr>
        <w:t>FLSmidths strategiske mål er at være den førende leverandør af bæredygtig produktivitet.</w:t>
      </w:r>
      <w:r w:rsidRPr="00962F6C">
        <w:rPr>
          <w:b w:val="0"/>
          <w:lang w:val="da-DK" w:bidi="da-DK"/>
        </w:rPr>
        <w:t xml:space="preserve"> </w:t>
      </w:r>
    </w:p>
    <w:p w14:paraId="065C7913" w14:textId="77777777" w:rsidR="00962F6C" w:rsidRPr="003B0E1F" w:rsidRDefault="00962F6C" w:rsidP="00962F6C">
      <w:pPr>
        <w:pStyle w:val="Heading2"/>
        <w:ind w:left="822"/>
        <w:jc w:val="both"/>
        <w:rPr>
          <w:b w:val="0"/>
          <w:lang w:val="da-DK"/>
        </w:rPr>
      </w:pPr>
    </w:p>
    <w:p w14:paraId="249D75FE" w14:textId="4702A7CB" w:rsidR="002E72FE" w:rsidRPr="003B0E1F" w:rsidRDefault="00962F6C" w:rsidP="00962F6C">
      <w:pPr>
        <w:pStyle w:val="Heading2"/>
        <w:ind w:left="822"/>
        <w:jc w:val="both"/>
        <w:rPr>
          <w:b w:val="0"/>
          <w:lang w:val="da-DK"/>
        </w:rPr>
      </w:pPr>
      <w:r w:rsidRPr="00962F6C">
        <w:rPr>
          <w:b w:val="0"/>
          <w:lang w:val="da-DK" w:bidi="da-DK"/>
        </w:rPr>
        <w:t xml:space="preserve">Med en unik kombination af teknologi, procesviden og serviceydelser hjælper Selskabet kunder inden for cement- og mineindustrien med at </w:t>
      </w:r>
      <w:r w:rsidRPr="00EA2E4A">
        <w:rPr>
          <w:b w:val="0"/>
          <w:lang w:val="da-DK" w:bidi="da-DK"/>
        </w:rPr>
        <w:t>skabe succes ved at styrke bæredygtig produktivitet</w:t>
      </w:r>
      <w:r w:rsidRPr="00962F6C">
        <w:rPr>
          <w:b w:val="0"/>
          <w:lang w:val="da-DK" w:bidi="da-DK"/>
        </w:rPr>
        <w:t xml:space="preserve">. FLSmidths livscyklusbaserede tilgang, ikke kun til de leverede produkter men også til kundernes anlæg, gør det muligt for Selskabet at levere </w:t>
      </w:r>
      <w:r w:rsidRPr="00962F6C">
        <w:rPr>
          <w:b w:val="0"/>
          <w:lang w:val="da-DK" w:bidi="da-DK"/>
        </w:rPr>
        <w:lastRenderedPageBreak/>
        <w:t xml:space="preserve">brancheførende løsninger med lave samlede ejeromkostninger og reduceret miljøpåvirkning. Bæredygtighed er selve kernen i FLSmidths forretning. </w:t>
      </w:r>
    </w:p>
    <w:p w14:paraId="47C44B91" w14:textId="77777777" w:rsidR="00962F6C" w:rsidRPr="003B0E1F" w:rsidRDefault="00962F6C" w:rsidP="00962F6C">
      <w:pPr>
        <w:jc w:val="both"/>
        <w:rPr>
          <w:lang w:val="da-DK"/>
        </w:rPr>
      </w:pPr>
      <w:r>
        <w:rPr>
          <w:lang w:val="da-DK" w:bidi="da-DK"/>
        </w:rPr>
        <w:tab/>
      </w:r>
    </w:p>
    <w:p w14:paraId="5093DFA7" w14:textId="65311CDA" w:rsidR="00900E4F" w:rsidRPr="003B0E1F" w:rsidRDefault="00BA7F34" w:rsidP="00BA7F34">
      <w:pPr>
        <w:ind w:left="822"/>
        <w:jc w:val="both"/>
        <w:rPr>
          <w:lang w:val="da-DK"/>
        </w:rPr>
      </w:pPr>
      <w:r>
        <w:rPr>
          <w:lang w:val="da-DK" w:bidi="da-DK"/>
        </w:rPr>
        <w:t xml:space="preserve">Med dette strategiske standpunkt mener Selskabet også, at der er en sammenhæng mellem FLSmidths strategiske og finansielle succes og den reducerede miljøpåvirkning fra cement- og mineindustrien. </w:t>
      </w:r>
    </w:p>
    <w:p w14:paraId="53F7EBAC" w14:textId="77777777" w:rsidR="00900E4F" w:rsidRPr="003B0E1F" w:rsidRDefault="00900E4F" w:rsidP="00BA7F34">
      <w:pPr>
        <w:ind w:left="822"/>
        <w:jc w:val="both"/>
        <w:rPr>
          <w:lang w:val="da-DK"/>
        </w:rPr>
      </w:pPr>
    </w:p>
    <w:p w14:paraId="691915CD" w14:textId="4A912F14" w:rsidR="00311F70" w:rsidRPr="003B0E1F" w:rsidRDefault="00C451A8" w:rsidP="00BA7F34">
      <w:pPr>
        <w:ind w:left="822"/>
        <w:jc w:val="both"/>
        <w:rPr>
          <w:lang w:val="da-DK"/>
        </w:rPr>
      </w:pPr>
      <w:r>
        <w:rPr>
          <w:lang w:val="da-DK" w:bidi="da-DK"/>
        </w:rPr>
        <w:t xml:space="preserve">Koncernledelsens variable incitamentsprogrammer er primært baseret på finansielle KPI'er, der måler opnåelsen af kortsigtede og langsigtede strategiske mål. Selskabet er sikker på, at der er tilstrækkelig motivation til, at koncerndirektionen kan drive industrierne i retning af lavere miljøpåvirkning. Bestyrelsen vil dog årligt via sin aflønningskomité vurdere, om der er behov for yderligere at styrke forbindelsen mellem strategi- og bæredygtighedsdagsordenen og koncerndirektionens samlede aflønning. </w:t>
      </w:r>
    </w:p>
    <w:p w14:paraId="02663E08" w14:textId="77777777" w:rsidR="00311F70" w:rsidRPr="003B0E1F" w:rsidRDefault="00311F70" w:rsidP="00BA7F34">
      <w:pPr>
        <w:ind w:left="822"/>
        <w:jc w:val="both"/>
        <w:rPr>
          <w:lang w:val="da-DK"/>
        </w:rPr>
      </w:pPr>
    </w:p>
    <w:p w14:paraId="2766633E" w14:textId="7E55CE88" w:rsidR="00962F6C" w:rsidRDefault="00311F70" w:rsidP="00BA7F34">
      <w:pPr>
        <w:ind w:left="822"/>
        <w:jc w:val="both"/>
      </w:pPr>
      <w:r>
        <w:rPr>
          <w:lang w:val="da-DK" w:bidi="da-DK"/>
        </w:rPr>
        <w:t xml:space="preserve">Selvom FLSmidths strategi kan ændre sig eller blive anvendt anderledes over tid, er den langsigtede bæredygtighedsambition blevet forankret i Selskabets MissionZero-program, som leder de to industrier i retning af nuludledning i 2030. </w:t>
      </w:r>
      <w:bookmarkEnd w:id="0"/>
      <w:r>
        <w:rPr>
          <w:lang w:val="da-DK" w:bidi="da-DK"/>
        </w:rPr>
        <w:t>Se flsmidth.com for mere information om MissionZero-programmet</w:t>
      </w:r>
      <w:r w:rsidR="00800587">
        <w:rPr>
          <w:lang w:val="da-DK" w:bidi="da-DK"/>
        </w:rPr>
        <w:t>.</w:t>
      </w:r>
      <w:r>
        <w:rPr>
          <w:lang w:val="da-DK" w:bidi="da-DK"/>
        </w:rPr>
        <w:t xml:space="preserve"> </w:t>
      </w:r>
    </w:p>
    <w:p w14:paraId="1DFA0D0E" w14:textId="77777777" w:rsidR="00962F6C" w:rsidRDefault="00962F6C" w:rsidP="00962F6C">
      <w:pPr>
        <w:jc w:val="both"/>
      </w:pPr>
    </w:p>
    <w:p w14:paraId="1CD3A02A" w14:textId="77777777" w:rsidR="00962F6C" w:rsidRPr="00962F6C" w:rsidRDefault="00962F6C" w:rsidP="00962F6C">
      <w:pPr>
        <w:jc w:val="both"/>
      </w:pPr>
      <w:r>
        <w:rPr>
          <w:lang w:val="da-DK" w:bidi="da-DK"/>
        </w:rPr>
        <w:tab/>
      </w:r>
    </w:p>
    <w:p w14:paraId="7DB42912" w14:textId="77777777" w:rsidR="002E72FE" w:rsidRDefault="0014509E" w:rsidP="00962F6C">
      <w:pPr>
        <w:pStyle w:val="Heading2"/>
        <w:numPr>
          <w:ilvl w:val="1"/>
          <w:numId w:val="3"/>
        </w:numPr>
        <w:spacing w:line="240" w:lineRule="atLeast"/>
        <w:jc w:val="both"/>
      </w:pPr>
      <w:r>
        <w:rPr>
          <w:lang w:val="da-DK" w:bidi="da-DK"/>
        </w:rPr>
        <w:t xml:space="preserve">FLSmidths medarbejdere </w:t>
      </w:r>
    </w:p>
    <w:p w14:paraId="03989220" w14:textId="0A235087" w:rsidR="0014509E" w:rsidRPr="003B0E1F" w:rsidRDefault="002E72FE" w:rsidP="00962F6C">
      <w:pPr>
        <w:pStyle w:val="Heading1"/>
        <w:spacing w:line="240" w:lineRule="atLeast"/>
        <w:ind w:left="822"/>
        <w:jc w:val="both"/>
        <w:rPr>
          <w:b w:val="0"/>
          <w:lang w:val="da-DK"/>
        </w:rPr>
      </w:pPr>
      <w:r w:rsidRPr="00506381">
        <w:rPr>
          <w:b w:val="0"/>
          <w:lang w:val="da-DK" w:bidi="da-DK"/>
        </w:rPr>
        <w:t>Når det er muligt og relevant, bestræber Selskabet sig på at tilpasse aflønningsproceduren og -principperne for koncerndirektionen og medarbejder</w:t>
      </w:r>
      <w:r w:rsidR="00C17BD6">
        <w:rPr>
          <w:b w:val="0"/>
          <w:lang w:val="da-DK" w:bidi="da-DK"/>
        </w:rPr>
        <w:t>staben</w:t>
      </w:r>
      <w:r w:rsidRPr="00506381">
        <w:rPr>
          <w:b w:val="0"/>
          <w:lang w:val="da-DK" w:bidi="da-DK"/>
        </w:rPr>
        <w:t xml:space="preserve"> for at sikre global konsistens på tværs af forskellige ledelsesniveauer inden for FLSmidth-koncernen. Der er selvfølgelig forskelle i aflønningselementer, -procedure og -anvendelse mellem koncerndirektionen og medarbejder</w:t>
      </w:r>
      <w:r w:rsidR="00C17BD6">
        <w:rPr>
          <w:b w:val="0"/>
          <w:lang w:val="da-DK" w:bidi="da-DK"/>
        </w:rPr>
        <w:t>staben</w:t>
      </w:r>
      <w:r w:rsidRPr="00506381">
        <w:rPr>
          <w:b w:val="0"/>
          <w:lang w:val="da-DK" w:bidi="da-DK"/>
        </w:rPr>
        <w:t xml:space="preserve">. Der er dog også aflønningsprincipper og -procedurer, der er ens og anvendes i hele organisationen, og som hermed sikrer ensretning i hele koncernen for at skabe mere værdi for aktionærerne. </w:t>
      </w:r>
    </w:p>
    <w:p w14:paraId="0F2A8F66" w14:textId="77777777" w:rsidR="0014509E" w:rsidRPr="003B0E1F" w:rsidRDefault="0014509E" w:rsidP="00962F6C">
      <w:pPr>
        <w:pStyle w:val="Heading1"/>
        <w:spacing w:line="240" w:lineRule="atLeast"/>
        <w:ind w:left="822"/>
        <w:jc w:val="both"/>
        <w:rPr>
          <w:b w:val="0"/>
          <w:lang w:val="da-DK"/>
        </w:rPr>
      </w:pPr>
    </w:p>
    <w:p w14:paraId="6ECBF140" w14:textId="1104DD8C" w:rsidR="002E72FE" w:rsidRPr="003B0E1F" w:rsidRDefault="0014509E" w:rsidP="00962F6C">
      <w:pPr>
        <w:pStyle w:val="Heading1"/>
        <w:spacing w:line="240" w:lineRule="atLeast"/>
        <w:ind w:left="822"/>
        <w:jc w:val="both"/>
        <w:rPr>
          <w:b w:val="0"/>
          <w:lang w:val="da-DK"/>
        </w:rPr>
      </w:pPr>
      <w:r w:rsidRPr="00506381">
        <w:rPr>
          <w:b w:val="0"/>
          <w:lang w:val="da-DK" w:bidi="da-DK"/>
        </w:rPr>
        <w:t>Som eksempel kan nævnes den måde, hvorpå den årlige grundløn fastsættes ved at anvende de samme faktorer og den samme tilgang i hele organisationen. Der henvises til pkt. 3.2 i denne politik (‘</w:t>
      </w:r>
      <w:r w:rsidR="00E764A0" w:rsidRPr="00E764A0">
        <w:rPr>
          <w:b w:val="0"/>
          <w:i/>
          <w:lang w:val="da-DK" w:bidi="da-DK"/>
        </w:rPr>
        <w:t>grundløn</w:t>
      </w:r>
      <w:r w:rsidRPr="00506381">
        <w:rPr>
          <w:b w:val="0"/>
          <w:lang w:val="da-DK" w:bidi="da-DK"/>
        </w:rPr>
        <w:t xml:space="preserve">’). </w:t>
      </w:r>
    </w:p>
    <w:p w14:paraId="20F3231B" w14:textId="77777777" w:rsidR="002E72FE" w:rsidRPr="003B0E1F" w:rsidRDefault="002E72FE" w:rsidP="00962F6C">
      <w:pPr>
        <w:pStyle w:val="Heading1"/>
        <w:spacing w:line="240" w:lineRule="atLeast"/>
        <w:ind w:left="822"/>
        <w:jc w:val="both"/>
        <w:rPr>
          <w:b w:val="0"/>
          <w:lang w:val="da-DK"/>
        </w:rPr>
      </w:pPr>
    </w:p>
    <w:p w14:paraId="2A968A38" w14:textId="7F697B9B" w:rsidR="0014509E" w:rsidRPr="003B0E1F" w:rsidRDefault="002E72FE" w:rsidP="00962F6C">
      <w:pPr>
        <w:pStyle w:val="Heading1"/>
        <w:spacing w:line="240" w:lineRule="atLeast"/>
        <w:ind w:left="822"/>
        <w:jc w:val="both"/>
        <w:rPr>
          <w:b w:val="0"/>
          <w:lang w:val="da-DK"/>
        </w:rPr>
      </w:pPr>
      <w:r w:rsidRPr="00506381">
        <w:rPr>
          <w:b w:val="0"/>
          <w:lang w:val="da-DK" w:bidi="da-DK"/>
        </w:rPr>
        <w:t>Et andet eksempel er ensretningen af aflønningsvilkårene for medarbejder</w:t>
      </w:r>
      <w:r w:rsidR="00C17BD6">
        <w:rPr>
          <w:b w:val="0"/>
          <w:lang w:val="da-DK" w:bidi="da-DK"/>
        </w:rPr>
        <w:t>stab</w:t>
      </w:r>
      <w:r w:rsidRPr="00506381">
        <w:rPr>
          <w:b w:val="0"/>
          <w:lang w:val="da-DK" w:bidi="da-DK"/>
        </w:rPr>
        <w:t xml:space="preserve"> og koncerndirektionen. Helt konkret er medlemmer af koncernledelsen omfattet af de samme incitamentsprogrammer (kortsigtede og langsigtede incitamentsprogrammer) som andre kvalificerede medarbejdere i FLSmidth-koncernen. FLSmidth anvender imidlertid relevante tilpasninger for at sikre, at koncerndirektionen bærer det største ansvar for at drive strategiudførelsen og skabe værdi for aktionærerne. Det betyder, at incitamentsniveauerne er højere for koncerndirektionen end for medarbejdere. I forhold til kortsigtet </w:t>
      </w:r>
      <w:r w:rsidRPr="00506381">
        <w:rPr>
          <w:b w:val="0"/>
          <w:lang w:val="da-DK" w:bidi="da-DK"/>
        </w:rPr>
        <w:lastRenderedPageBreak/>
        <w:t xml:space="preserve">værdiskabelse er en større del af koncerndirektionens kortsigtede incitamentsprogram afhængigt af Selskabets regnskabsresultater end de almindelige medarbejderes. Der henvises til pkt. 3.2 i denne politik (‘Kortsigtet incitamentsprogram’ og ‘Langsigtet incitamentsprogram’). </w:t>
      </w:r>
    </w:p>
    <w:p w14:paraId="6C413DCA" w14:textId="77777777" w:rsidR="002E72FE" w:rsidRPr="003B0E1F" w:rsidRDefault="002E72FE" w:rsidP="00962F6C">
      <w:pPr>
        <w:pStyle w:val="Heading1"/>
        <w:spacing w:line="240" w:lineRule="atLeast"/>
        <w:ind w:left="822"/>
        <w:jc w:val="both"/>
        <w:rPr>
          <w:bCs w:val="0"/>
          <w:lang w:val="da-DK"/>
        </w:rPr>
      </w:pPr>
    </w:p>
    <w:p w14:paraId="1DEC581C" w14:textId="77777777" w:rsidR="002E72FE" w:rsidRPr="003B0E1F" w:rsidRDefault="002E72FE" w:rsidP="00962F6C">
      <w:pPr>
        <w:ind w:left="822"/>
        <w:jc w:val="both"/>
        <w:rPr>
          <w:lang w:val="da-DK"/>
        </w:rPr>
      </w:pPr>
    </w:p>
    <w:p w14:paraId="0EFCE90A" w14:textId="77777777" w:rsidR="0019582F" w:rsidRPr="00444F0F" w:rsidRDefault="0009300B" w:rsidP="00962F6C">
      <w:pPr>
        <w:pStyle w:val="Heading2"/>
        <w:numPr>
          <w:ilvl w:val="1"/>
          <w:numId w:val="3"/>
        </w:numPr>
        <w:spacing w:line="240" w:lineRule="atLeast"/>
        <w:jc w:val="both"/>
      </w:pPr>
      <w:r w:rsidRPr="00444F0F">
        <w:rPr>
          <w:lang w:val="da-DK" w:bidi="da-DK"/>
        </w:rPr>
        <w:t>Politikstyring, politikrevisioner og beslutningstagning</w:t>
      </w:r>
    </w:p>
    <w:p w14:paraId="1B68DEAA" w14:textId="03A54921" w:rsidR="00A77A04" w:rsidRPr="003B0E1F" w:rsidRDefault="00986311" w:rsidP="00606B74">
      <w:pPr>
        <w:pStyle w:val="Heading3"/>
        <w:ind w:left="822"/>
        <w:jc w:val="both"/>
        <w:rPr>
          <w:b w:val="0"/>
          <w:lang w:val="da-DK"/>
        </w:rPr>
      </w:pPr>
      <w:r w:rsidRPr="00444F0F">
        <w:rPr>
          <w:b w:val="0"/>
          <w:lang w:val="da-DK" w:bidi="da-DK"/>
        </w:rPr>
        <w:t xml:space="preserve">Koncerndirektionens ansættelses- og aflønningsvilkår godkendes af bestyrelsen, som har oprettet en aflønningskomité, der skal fungere som bestyrelseskomité i sager vedrørende ledelsens aflønning. I denne egenskab er aflønningskomitéen også ansvarlig for </w:t>
      </w:r>
      <w:r w:rsidR="00E50D49">
        <w:rPr>
          <w:b w:val="0"/>
          <w:lang w:val="da-DK" w:bidi="da-DK"/>
        </w:rPr>
        <w:t>vederlagspolitik</w:t>
      </w:r>
      <w:r w:rsidRPr="00444F0F">
        <w:rPr>
          <w:b w:val="0"/>
          <w:lang w:val="da-DK" w:bidi="da-DK"/>
        </w:rPr>
        <w:t xml:space="preserve">ken, herunder løbende revision og opdateringer. </w:t>
      </w:r>
    </w:p>
    <w:p w14:paraId="2132ED50" w14:textId="77777777" w:rsidR="004223D3" w:rsidRPr="003B0E1F" w:rsidRDefault="004223D3" w:rsidP="00962F6C">
      <w:pPr>
        <w:pStyle w:val="Heading2"/>
        <w:ind w:left="822"/>
        <w:jc w:val="both"/>
        <w:rPr>
          <w:b w:val="0"/>
          <w:lang w:val="da-DK"/>
        </w:rPr>
      </w:pPr>
    </w:p>
    <w:p w14:paraId="39C6C977" w14:textId="167A1575" w:rsidR="0062276A" w:rsidRPr="003B0E1F" w:rsidRDefault="004223D3" w:rsidP="00962F6C">
      <w:pPr>
        <w:pStyle w:val="Heading2"/>
        <w:ind w:left="822"/>
        <w:jc w:val="both"/>
        <w:rPr>
          <w:b w:val="0"/>
          <w:lang w:val="da-DK"/>
        </w:rPr>
      </w:pPr>
      <w:r w:rsidRPr="00444F0F">
        <w:rPr>
          <w:b w:val="0"/>
          <w:lang w:val="da-DK" w:bidi="da-DK"/>
        </w:rPr>
        <w:t xml:space="preserve">Aflønningskomitéen vil løbende og mindst én gang årligt overveje, om der er behov for en revision af </w:t>
      </w:r>
      <w:r w:rsidR="00E50D49">
        <w:rPr>
          <w:b w:val="0"/>
          <w:lang w:val="da-DK" w:bidi="da-DK"/>
        </w:rPr>
        <w:t>vederlagspolitik</w:t>
      </w:r>
      <w:r w:rsidRPr="00444F0F">
        <w:rPr>
          <w:b w:val="0"/>
          <w:lang w:val="da-DK" w:bidi="da-DK"/>
        </w:rPr>
        <w:t xml:space="preserve">ken for at opfylde formålene med denne og foretage tilpasninger så politikken afspejler FLSmidths overordnede kortsigtede og langsigtede mål. Alle forslag til revisioner fremlægges for bestyrelsen til godkendelse i henhold til de normale godkendelsesprocedurer for bestyrelsen. Hvis en foreslået revision af </w:t>
      </w:r>
      <w:r w:rsidR="00E50D49">
        <w:rPr>
          <w:b w:val="0"/>
          <w:lang w:val="da-DK" w:bidi="da-DK"/>
        </w:rPr>
        <w:t>vederlagspolitik</w:t>
      </w:r>
      <w:r w:rsidRPr="00444F0F">
        <w:rPr>
          <w:b w:val="0"/>
          <w:lang w:val="da-DK" w:bidi="da-DK"/>
        </w:rPr>
        <w:t xml:space="preserve">ken godkendes, skal bestyrelsen sikre, at revisionen forelægges aktionærerne til godkendelse på generalforsamlingen. </w:t>
      </w:r>
    </w:p>
    <w:p w14:paraId="1A2BA4F0" w14:textId="77777777" w:rsidR="0062276A" w:rsidRPr="003B0E1F" w:rsidRDefault="0062276A" w:rsidP="00962F6C">
      <w:pPr>
        <w:jc w:val="both"/>
        <w:rPr>
          <w:lang w:val="da-DK"/>
        </w:rPr>
      </w:pPr>
    </w:p>
    <w:p w14:paraId="17634256" w14:textId="654E0F37" w:rsidR="0062276A" w:rsidRPr="003B0E1F" w:rsidRDefault="00992E36" w:rsidP="00962F6C">
      <w:pPr>
        <w:pStyle w:val="Heading3"/>
        <w:ind w:left="822"/>
        <w:jc w:val="both"/>
        <w:rPr>
          <w:b w:val="0"/>
          <w:lang w:val="da-DK"/>
        </w:rPr>
      </w:pPr>
      <w:r w:rsidRPr="009F3DAA">
        <w:rPr>
          <w:b w:val="0"/>
          <w:lang w:val="da-DK" w:bidi="da-DK"/>
        </w:rPr>
        <w:t xml:space="preserve">Idet aflønningen af bestyrelsen er et fast kontantbeløb, der er godkendt på den ordinære generalforsamling, og idet </w:t>
      </w:r>
      <w:r w:rsidR="00E50D49">
        <w:rPr>
          <w:b w:val="0"/>
          <w:lang w:val="da-DK" w:bidi="da-DK"/>
        </w:rPr>
        <w:t>vederlagspolitik</w:t>
      </w:r>
      <w:r w:rsidRPr="009F3DAA">
        <w:rPr>
          <w:b w:val="0"/>
          <w:lang w:val="da-DK" w:bidi="da-DK"/>
        </w:rPr>
        <w:t xml:space="preserve">ken er godkendt separat af generalforsamlingen, anses en interessekonflikt for at være usandsynlig. </w:t>
      </w:r>
    </w:p>
    <w:p w14:paraId="55F4AB17" w14:textId="77777777" w:rsidR="005C75A5" w:rsidRPr="003B0E1F" w:rsidRDefault="005C75A5" w:rsidP="005C75A5">
      <w:pPr>
        <w:rPr>
          <w:lang w:val="da-DK"/>
        </w:rPr>
      </w:pPr>
    </w:p>
    <w:p w14:paraId="265486FF" w14:textId="77777777" w:rsidR="005C75A5" w:rsidRPr="003B0E1F" w:rsidRDefault="005C75A5" w:rsidP="005C75A5">
      <w:pPr>
        <w:rPr>
          <w:lang w:val="da-DK"/>
        </w:rPr>
      </w:pPr>
    </w:p>
    <w:p w14:paraId="13CB9EDC" w14:textId="032855C4" w:rsidR="00C12F71" w:rsidRDefault="00A47F44" w:rsidP="00962F6C">
      <w:pPr>
        <w:pStyle w:val="Heading1"/>
        <w:numPr>
          <w:ilvl w:val="0"/>
          <w:numId w:val="3"/>
        </w:numPr>
        <w:spacing w:line="240" w:lineRule="atLeast"/>
        <w:jc w:val="both"/>
      </w:pPr>
      <w:bookmarkStart w:id="1" w:name="_Ref409602246"/>
      <w:r w:rsidRPr="00444F0F">
        <w:rPr>
          <w:lang w:val="da-DK" w:bidi="da-DK"/>
        </w:rPr>
        <w:t xml:space="preserve">Aflønning </w:t>
      </w:r>
      <w:bookmarkEnd w:id="1"/>
    </w:p>
    <w:p w14:paraId="3D6EF76D" w14:textId="77777777" w:rsidR="00E764A0" w:rsidRPr="00E764A0" w:rsidRDefault="00E764A0" w:rsidP="00E764A0"/>
    <w:p w14:paraId="059A1692" w14:textId="77777777" w:rsidR="00A47F44" w:rsidRPr="00444F0F" w:rsidRDefault="00A47F44" w:rsidP="00962F6C">
      <w:pPr>
        <w:pStyle w:val="Heading2"/>
        <w:numPr>
          <w:ilvl w:val="1"/>
          <w:numId w:val="3"/>
        </w:numPr>
        <w:spacing w:line="240" w:lineRule="atLeast"/>
        <w:jc w:val="both"/>
      </w:pPr>
      <w:r w:rsidRPr="00444F0F">
        <w:rPr>
          <w:lang w:val="da-DK" w:bidi="da-DK"/>
        </w:rPr>
        <w:t>Bestyrelsen</w:t>
      </w:r>
    </w:p>
    <w:p w14:paraId="03609ECF" w14:textId="77777777" w:rsidR="00A47F44" w:rsidRPr="00444F0F" w:rsidRDefault="00A47F44" w:rsidP="00962F6C">
      <w:pPr>
        <w:jc w:val="both"/>
      </w:pPr>
    </w:p>
    <w:p w14:paraId="2CB90E6B" w14:textId="77777777" w:rsidR="00F5158F" w:rsidRPr="00444F0F" w:rsidRDefault="00F5158F" w:rsidP="00962F6C">
      <w:pPr>
        <w:pStyle w:val="Heading2"/>
        <w:ind w:left="822"/>
        <w:jc w:val="both"/>
        <w:rPr>
          <w:b w:val="0"/>
          <w:i/>
        </w:rPr>
      </w:pPr>
      <w:r w:rsidRPr="00444F0F">
        <w:rPr>
          <w:b w:val="0"/>
          <w:i/>
          <w:lang w:val="da-DK" w:bidi="da-DK"/>
        </w:rPr>
        <w:t>Faste honorarer</w:t>
      </w:r>
    </w:p>
    <w:p w14:paraId="526AE095" w14:textId="2A9FBF24" w:rsidR="00A47F44" w:rsidRPr="003B0E1F" w:rsidRDefault="00A47F44" w:rsidP="00962F6C">
      <w:pPr>
        <w:pStyle w:val="Heading2"/>
        <w:ind w:left="822"/>
        <w:jc w:val="both"/>
        <w:rPr>
          <w:b w:val="0"/>
          <w:lang w:val="da-DK"/>
        </w:rPr>
      </w:pPr>
      <w:r w:rsidRPr="00444F0F">
        <w:rPr>
          <w:b w:val="0"/>
          <w:lang w:val="da-DK" w:bidi="da-DK"/>
        </w:rPr>
        <w:t xml:space="preserve">Bestyrelsen </w:t>
      </w:r>
      <w:r w:rsidRPr="00177D74">
        <w:rPr>
          <w:b w:val="0"/>
          <w:iCs/>
          <w:lang w:val="da-DK" w:bidi="da-DK"/>
        </w:rPr>
        <w:t>aflønnes</w:t>
      </w:r>
      <w:r w:rsidRPr="00444F0F">
        <w:rPr>
          <w:b w:val="0"/>
          <w:lang w:val="da-DK" w:bidi="da-DK"/>
        </w:rPr>
        <w:t xml:space="preserve"> med et fast honorar. Bestyrelsesmedlemmerne deltager ikke i FLSmidths incitamentsprogrammer, og de aflønnes ikke med aktier eller lignede ikke-kontante instrumenter. </w:t>
      </w:r>
    </w:p>
    <w:p w14:paraId="6936996E" w14:textId="77777777" w:rsidR="00A47F44" w:rsidRPr="003B0E1F" w:rsidRDefault="00A47F44" w:rsidP="00962F6C">
      <w:pPr>
        <w:jc w:val="both"/>
        <w:rPr>
          <w:lang w:val="da-DK"/>
        </w:rPr>
      </w:pPr>
    </w:p>
    <w:p w14:paraId="6EA900FA" w14:textId="3E868AA7" w:rsidR="00650AA6" w:rsidRPr="003B0E1F" w:rsidRDefault="002F2F8E" w:rsidP="00962F6C">
      <w:pPr>
        <w:pStyle w:val="Heading3"/>
        <w:ind w:left="822"/>
        <w:jc w:val="both"/>
        <w:rPr>
          <w:b w:val="0"/>
          <w:lang w:val="da-DK"/>
        </w:rPr>
      </w:pPr>
      <w:r>
        <w:rPr>
          <w:b w:val="0"/>
          <w:lang w:val="da-DK" w:bidi="da-DK"/>
        </w:rPr>
        <w:t>Bestyrelsesmedlemmerne modtager et fast årligt kontanthonorar. Bestyrelsens honorarer forudgodkendes på den ordinære generalforsamling for det pågældende år og opnår endelig godkendelse på den ordinære generalforsamling det efterfølgende år. Nyvalgte og udtrædende bestyrelsesmedlemmer modtager et forholdsmæssigt honorar for det pågældende år. Selskabet kan også betale udgifter til udenlandske sociale ordninger og lignende udgifter, der pålægges af udenlandske myndigheder vedrørende honorarerne.</w:t>
      </w:r>
    </w:p>
    <w:p w14:paraId="649765DD" w14:textId="77777777" w:rsidR="00650AA6" w:rsidRPr="003B0E1F" w:rsidRDefault="00650AA6" w:rsidP="00962F6C">
      <w:pPr>
        <w:jc w:val="both"/>
        <w:rPr>
          <w:lang w:val="da-DK"/>
        </w:rPr>
      </w:pPr>
    </w:p>
    <w:p w14:paraId="1F2BB09F" w14:textId="5AFF7F3E" w:rsidR="00A761B9" w:rsidRPr="003E0C48" w:rsidRDefault="00DB7197" w:rsidP="00962F6C">
      <w:pPr>
        <w:ind w:left="822"/>
        <w:jc w:val="both"/>
        <w:rPr>
          <w:rFonts w:cs="Arial"/>
          <w:bCs/>
          <w:kern w:val="32"/>
          <w:szCs w:val="32"/>
          <w:lang w:val="da-DK" w:bidi="da-DK"/>
        </w:rPr>
      </w:pPr>
      <w:r w:rsidRPr="003E0C48">
        <w:rPr>
          <w:rFonts w:cs="Arial"/>
          <w:bCs/>
          <w:kern w:val="32"/>
          <w:szCs w:val="32"/>
          <w:lang w:val="da-DK" w:bidi="da-DK"/>
        </w:rPr>
        <w:lastRenderedPageBreak/>
        <w:t>På baggrund af generalforsamlingens beslutning skal de faste årlige honorarer til formanden og næstformanden være højere end det faste årlige honorar til almindelige bestyrelsesmedlemmer. På nuværende tidspunkt er formandens honorar tre gange højere og viceformandens to gange højere end det årlige faste honorar.</w:t>
      </w:r>
    </w:p>
    <w:p w14:paraId="6A23755D" w14:textId="77777777" w:rsidR="00A761B9" w:rsidRPr="003E0C48" w:rsidRDefault="00A761B9" w:rsidP="00962F6C">
      <w:pPr>
        <w:ind w:left="822"/>
        <w:jc w:val="both"/>
        <w:rPr>
          <w:rFonts w:cs="Arial"/>
          <w:bCs/>
          <w:kern w:val="32"/>
          <w:szCs w:val="32"/>
          <w:lang w:val="da-DK" w:bidi="da-DK"/>
        </w:rPr>
      </w:pPr>
    </w:p>
    <w:p w14:paraId="6D5A5410" w14:textId="4646C00C" w:rsidR="00650AA6" w:rsidRPr="003B0E1F" w:rsidRDefault="00A761B9" w:rsidP="00962F6C">
      <w:pPr>
        <w:ind w:left="822"/>
        <w:jc w:val="both"/>
        <w:rPr>
          <w:rFonts w:cs="Arial"/>
          <w:bCs/>
          <w:kern w:val="32"/>
          <w:szCs w:val="32"/>
          <w:lang w:val="da-DK"/>
        </w:rPr>
      </w:pPr>
      <w:r w:rsidRPr="003E0C48">
        <w:rPr>
          <w:rFonts w:cs="Arial"/>
          <w:bCs/>
          <w:kern w:val="32"/>
          <w:szCs w:val="32"/>
          <w:lang w:val="da-DK" w:bidi="da-DK"/>
        </w:rPr>
        <w:t xml:space="preserve">På samme måde skal der i henhold til generalforsamlingens beslutning gælde yderligere faste honorarer for </w:t>
      </w:r>
      <w:r w:rsidR="00F5158F" w:rsidRPr="003E0C48">
        <w:rPr>
          <w:rFonts w:cs="Arial"/>
          <w:bCs/>
          <w:kern w:val="32"/>
          <w:szCs w:val="32"/>
          <w:lang w:val="da-DK" w:bidi="da-DK"/>
        </w:rPr>
        <w:t>medlemmer</w:t>
      </w:r>
      <w:r w:rsidR="00F5158F" w:rsidRPr="00444F0F">
        <w:rPr>
          <w:lang w:val="da-DK" w:bidi="da-DK"/>
        </w:rPr>
        <w:t xml:space="preserve"> af bestyrelseskomitéer. Disse honorarer differentieres, så formanden for en bestyrelseskomité får et højere honorar end almindelige komitémedlemmer. Formanden og næstformanden for bestyrelsen modtager ikke yderligere honorarer for at sidde i bestyrelseskomitéer.</w:t>
      </w:r>
    </w:p>
    <w:p w14:paraId="3D57DD81" w14:textId="77777777" w:rsidR="00650AA6" w:rsidRPr="003B0E1F" w:rsidRDefault="00650AA6" w:rsidP="00962F6C">
      <w:pPr>
        <w:pStyle w:val="Heading3"/>
        <w:ind w:left="822"/>
        <w:jc w:val="both"/>
        <w:rPr>
          <w:b w:val="0"/>
          <w:lang w:val="da-DK"/>
        </w:rPr>
      </w:pPr>
    </w:p>
    <w:p w14:paraId="6ED962B8" w14:textId="4B0912BA" w:rsidR="00650AA6" w:rsidRPr="003B0E1F" w:rsidRDefault="002A0955" w:rsidP="00962F6C">
      <w:pPr>
        <w:pStyle w:val="Heading3"/>
        <w:ind w:left="822"/>
        <w:jc w:val="both"/>
        <w:rPr>
          <w:b w:val="0"/>
          <w:lang w:val="da-DK"/>
        </w:rPr>
      </w:pPr>
      <w:r>
        <w:rPr>
          <w:b w:val="0"/>
          <w:lang w:val="da-DK" w:bidi="da-DK"/>
        </w:rPr>
        <w:t xml:space="preserve">Hvis det vedtages på den ordinære generalforsamling, kan der i de endelige godkendte honorarer indregnes faktorer som f.eks. uventet arbejdsbyrde og særlige ad hoc-opgaver, og de foreløbige godkendte honorarer kan forhøjes for alle eller nogle af bestyrelsesmedlemmerne. </w:t>
      </w:r>
    </w:p>
    <w:p w14:paraId="24AD2A47" w14:textId="77777777" w:rsidR="00650AA6" w:rsidRPr="003B0E1F" w:rsidRDefault="00650AA6" w:rsidP="00962F6C">
      <w:pPr>
        <w:pStyle w:val="Heading3"/>
        <w:ind w:left="822"/>
        <w:jc w:val="both"/>
        <w:rPr>
          <w:b w:val="0"/>
          <w:lang w:val="da-DK"/>
        </w:rPr>
      </w:pPr>
    </w:p>
    <w:p w14:paraId="223B9BF8" w14:textId="77777777" w:rsidR="00F5158F" w:rsidRPr="003B0E1F" w:rsidRDefault="00F5158F" w:rsidP="00962F6C">
      <w:pPr>
        <w:pStyle w:val="Heading3"/>
        <w:ind w:left="822"/>
        <w:jc w:val="both"/>
        <w:rPr>
          <w:b w:val="0"/>
          <w:i/>
          <w:lang w:val="da-DK"/>
        </w:rPr>
      </w:pPr>
      <w:r w:rsidRPr="00444F0F">
        <w:rPr>
          <w:b w:val="0"/>
          <w:i/>
          <w:lang w:val="da-DK" w:bidi="da-DK"/>
        </w:rPr>
        <w:t>Goder</w:t>
      </w:r>
    </w:p>
    <w:p w14:paraId="63DB3915" w14:textId="648BF465" w:rsidR="00A47F44" w:rsidRPr="003B0E1F" w:rsidRDefault="00EC679B" w:rsidP="00962F6C">
      <w:pPr>
        <w:pStyle w:val="Heading3"/>
        <w:ind w:left="822"/>
        <w:jc w:val="both"/>
        <w:rPr>
          <w:b w:val="0"/>
          <w:lang w:val="da-DK"/>
        </w:rPr>
      </w:pPr>
      <w:r w:rsidRPr="00444F0F">
        <w:rPr>
          <w:b w:val="0"/>
          <w:lang w:val="da-DK" w:bidi="da-DK"/>
        </w:rPr>
        <w:t xml:space="preserve">Med hensyn til goder kan Selskabet betale for et nyhedsabonnement for alle medlemmer af bestyrelsen efter formandens godkendelse.   </w:t>
      </w:r>
    </w:p>
    <w:p w14:paraId="6C29B91C" w14:textId="77777777" w:rsidR="00A47F44" w:rsidRPr="003B0E1F" w:rsidRDefault="00A47F44" w:rsidP="00962F6C">
      <w:pPr>
        <w:pStyle w:val="Heading3"/>
        <w:ind w:left="822"/>
        <w:jc w:val="both"/>
        <w:rPr>
          <w:b w:val="0"/>
          <w:lang w:val="da-DK"/>
        </w:rPr>
      </w:pPr>
    </w:p>
    <w:p w14:paraId="17AF6940" w14:textId="77777777" w:rsidR="00F5158F" w:rsidRPr="003B0E1F" w:rsidRDefault="00F21495" w:rsidP="00962F6C">
      <w:pPr>
        <w:pStyle w:val="Heading3"/>
        <w:ind w:left="822"/>
        <w:jc w:val="both"/>
        <w:rPr>
          <w:b w:val="0"/>
          <w:i/>
          <w:lang w:val="da-DK"/>
        </w:rPr>
      </w:pPr>
      <w:r w:rsidRPr="00444F0F">
        <w:rPr>
          <w:b w:val="0"/>
          <w:i/>
          <w:lang w:val="da-DK" w:bidi="da-DK"/>
        </w:rPr>
        <w:t>Udgifter</w:t>
      </w:r>
    </w:p>
    <w:p w14:paraId="3F657C50" w14:textId="6FCFA496" w:rsidR="00A47F44" w:rsidRPr="003B0E1F" w:rsidRDefault="00F5158F" w:rsidP="00962F6C">
      <w:pPr>
        <w:pStyle w:val="Heading3"/>
        <w:ind w:left="822"/>
        <w:jc w:val="both"/>
        <w:rPr>
          <w:lang w:val="da-DK"/>
        </w:rPr>
      </w:pPr>
      <w:r w:rsidRPr="00444F0F">
        <w:rPr>
          <w:b w:val="0"/>
          <w:lang w:val="da-DK" w:bidi="da-DK"/>
        </w:rPr>
        <w:t xml:space="preserve">Selskabet betaler bestyrelsens omkostninger til rejser, hoteller og måltider i forbindelse med bestyrelsesmøder, enten ved Selskabets direkte betaling af disse udgifter eller via efterfølgende udgiftsgodtgørelse. </w:t>
      </w:r>
    </w:p>
    <w:p w14:paraId="335EEE84" w14:textId="77777777" w:rsidR="0030142E" w:rsidRPr="003B0E1F" w:rsidRDefault="0030142E" w:rsidP="0030142E">
      <w:pPr>
        <w:rPr>
          <w:lang w:val="da-DK"/>
        </w:rPr>
      </w:pPr>
    </w:p>
    <w:p w14:paraId="5BF1158B" w14:textId="77777777" w:rsidR="00A47F44" w:rsidRPr="003B0E1F" w:rsidRDefault="00A47F44" w:rsidP="00962F6C">
      <w:pPr>
        <w:jc w:val="both"/>
        <w:rPr>
          <w:lang w:val="da-DK"/>
        </w:rPr>
      </w:pPr>
    </w:p>
    <w:p w14:paraId="4AD45C4C" w14:textId="77777777" w:rsidR="00233490" w:rsidRDefault="00C451A8" w:rsidP="00962F6C">
      <w:pPr>
        <w:pStyle w:val="Heading2"/>
        <w:numPr>
          <w:ilvl w:val="1"/>
          <w:numId w:val="3"/>
        </w:numPr>
        <w:spacing w:line="240" w:lineRule="atLeast"/>
        <w:jc w:val="both"/>
      </w:pPr>
      <w:r>
        <w:rPr>
          <w:lang w:val="da-DK" w:bidi="da-DK"/>
        </w:rPr>
        <w:t>Koncerndirektion</w:t>
      </w:r>
    </w:p>
    <w:p w14:paraId="4FE5B18A" w14:textId="77777777" w:rsidR="00233490" w:rsidRDefault="00233490" w:rsidP="00962F6C">
      <w:pPr>
        <w:pStyle w:val="Normal-Bullet"/>
        <w:numPr>
          <w:ilvl w:val="0"/>
          <w:numId w:val="0"/>
        </w:numPr>
        <w:ind w:left="822"/>
        <w:jc w:val="both"/>
      </w:pPr>
    </w:p>
    <w:p w14:paraId="39D8E47C" w14:textId="77777777" w:rsidR="00233490" w:rsidRPr="00233490" w:rsidRDefault="00233490" w:rsidP="00962F6C">
      <w:pPr>
        <w:ind w:left="822"/>
        <w:jc w:val="both"/>
        <w:rPr>
          <w:i/>
        </w:rPr>
      </w:pPr>
      <w:r w:rsidRPr="00233490">
        <w:rPr>
          <w:i/>
          <w:lang w:val="da-DK" w:bidi="da-DK"/>
        </w:rPr>
        <w:t xml:space="preserve">Samlet aflønningsramme  </w:t>
      </w:r>
    </w:p>
    <w:p w14:paraId="50C22B5C" w14:textId="1D278CDC" w:rsidR="00A47F44" w:rsidRPr="003B0E1F" w:rsidRDefault="00041DA1" w:rsidP="00962F6C">
      <w:pPr>
        <w:pStyle w:val="Heading2"/>
        <w:ind w:left="822"/>
        <w:jc w:val="both"/>
        <w:rPr>
          <w:b w:val="0"/>
          <w:lang w:val="da-DK"/>
        </w:rPr>
      </w:pPr>
      <w:r>
        <w:rPr>
          <w:b w:val="0"/>
          <w:lang w:val="da-DK" w:bidi="da-DK"/>
        </w:rPr>
        <w:t>Aflønningen af koncerndirektionen omfatter et nøgleprincip om, at den samlede vederlagspakke skal bestå af fast og variabel incitamentsbaseret aflønning. Denne samlede aflønningsramme sikrer, at Selskabet er i stand til at tiltrække og fastholde nøgle</w:t>
      </w:r>
      <w:r w:rsidR="009B304D">
        <w:rPr>
          <w:b w:val="0"/>
          <w:lang w:val="da-DK" w:bidi="da-DK"/>
        </w:rPr>
        <w:t>ledere</w:t>
      </w:r>
      <w:r>
        <w:rPr>
          <w:b w:val="0"/>
          <w:lang w:val="da-DK" w:bidi="da-DK"/>
        </w:rPr>
        <w:t xml:space="preserve"> på konkurrencedygtige vilkår, mens den incitamentsbaserede aflønning også tilskynder koncerndirektionen til at levere resultater via en stærk strategiudførelse og værdiskabelse for aktionærerne. Da den incitamentsbaserede aflønning består af en kombination af kortsigtede og langsigtede incitamenter, sikrer den, at incitamentsprogrammet bidrager til opnåelse af både kortsigtede og langsigtede strategiske mål og fremmer en fornuftspræget og rimelig adfærd eller risikoaccept.</w:t>
      </w:r>
    </w:p>
    <w:p w14:paraId="3DBBC670" w14:textId="1D4480A3" w:rsidR="00A47F44" w:rsidRPr="003B0E1F" w:rsidRDefault="00A47F44" w:rsidP="003E0C48">
      <w:pPr>
        <w:pStyle w:val="Heading3"/>
        <w:pageBreakBefore/>
        <w:ind w:left="821"/>
        <w:jc w:val="both"/>
        <w:rPr>
          <w:b w:val="0"/>
          <w:lang w:val="da-DK"/>
        </w:rPr>
      </w:pPr>
      <w:r w:rsidRPr="00444F0F">
        <w:rPr>
          <w:b w:val="0"/>
          <w:lang w:val="da-DK" w:bidi="da-DK"/>
        </w:rPr>
        <w:lastRenderedPageBreak/>
        <w:t xml:space="preserve">Koncerndirektionens samlede aflønning er baseret på følgende elementer: </w:t>
      </w:r>
    </w:p>
    <w:p w14:paraId="67B8825D" w14:textId="77777777" w:rsidR="00A47F44" w:rsidRPr="003B0E1F" w:rsidRDefault="00A47F44" w:rsidP="00962F6C">
      <w:pPr>
        <w:pStyle w:val="Heading5"/>
        <w:tabs>
          <w:tab w:val="clear" w:pos="1276"/>
        </w:tabs>
        <w:ind w:firstLine="0"/>
        <w:jc w:val="both"/>
        <w:rPr>
          <w:rFonts w:ascii="Verdana" w:hAnsi="Verdana"/>
          <w:lang w:val="da-DK"/>
        </w:rPr>
      </w:pPr>
    </w:p>
    <w:tbl>
      <w:tblPr>
        <w:tblStyle w:val="GridTable1Light"/>
        <w:tblW w:w="7538" w:type="dxa"/>
        <w:tblInd w:w="764" w:type="dxa"/>
        <w:tblLook w:val="04A0" w:firstRow="1" w:lastRow="0" w:firstColumn="1" w:lastColumn="0" w:noHBand="0" w:noVBand="1"/>
      </w:tblPr>
      <w:tblGrid>
        <w:gridCol w:w="3769"/>
        <w:gridCol w:w="3769"/>
      </w:tblGrid>
      <w:tr w:rsidR="004D1329" w:rsidRPr="00444F0F" w14:paraId="119F4FEB" w14:textId="77777777" w:rsidTr="005224C8">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769" w:type="dxa"/>
          </w:tcPr>
          <w:p w14:paraId="2C6E1529" w14:textId="6807A7CF" w:rsidR="004D1329" w:rsidRPr="00444F0F" w:rsidRDefault="004D1329" w:rsidP="00962F6C">
            <w:pPr>
              <w:jc w:val="both"/>
            </w:pPr>
            <w:r w:rsidRPr="00444F0F">
              <w:rPr>
                <w:lang w:val="da-DK" w:bidi="da-DK"/>
              </w:rPr>
              <w:t>Aflønningselementer</w:t>
            </w:r>
          </w:p>
        </w:tc>
        <w:tc>
          <w:tcPr>
            <w:tcW w:w="3769" w:type="dxa"/>
          </w:tcPr>
          <w:p w14:paraId="162E848A" w14:textId="77777777" w:rsidR="004D1329" w:rsidRPr="00444F0F" w:rsidRDefault="004D1329" w:rsidP="00962F6C">
            <w:pPr>
              <w:jc w:val="both"/>
              <w:cnfStyle w:val="100000000000" w:firstRow="1" w:lastRow="0" w:firstColumn="0" w:lastColumn="0" w:oddVBand="0" w:evenVBand="0" w:oddHBand="0" w:evenHBand="0" w:firstRowFirstColumn="0" w:firstRowLastColumn="0" w:lastRowFirstColumn="0" w:lastRowLastColumn="0"/>
            </w:pPr>
            <w:r w:rsidRPr="00444F0F">
              <w:rPr>
                <w:lang w:val="da-DK" w:bidi="da-DK"/>
              </w:rPr>
              <w:t xml:space="preserve">Type </w:t>
            </w:r>
          </w:p>
        </w:tc>
      </w:tr>
      <w:tr w:rsidR="004D1329" w:rsidRPr="00444F0F" w14:paraId="0E17F83D" w14:textId="77777777" w:rsidTr="005224C8">
        <w:trPr>
          <w:trHeight w:val="213"/>
        </w:trPr>
        <w:tc>
          <w:tcPr>
            <w:cnfStyle w:val="001000000000" w:firstRow="0" w:lastRow="0" w:firstColumn="1" w:lastColumn="0" w:oddVBand="0" w:evenVBand="0" w:oddHBand="0" w:evenHBand="0" w:firstRowFirstColumn="0" w:firstRowLastColumn="0" w:lastRowFirstColumn="0" w:lastRowLastColumn="0"/>
            <w:tcW w:w="3769" w:type="dxa"/>
          </w:tcPr>
          <w:p w14:paraId="27C99D2D" w14:textId="77777777" w:rsidR="004D1329" w:rsidRPr="00444F0F" w:rsidRDefault="004D1329" w:rsidP="00962F6C">
            <w:pPr>
              <w:jc w:val="both"/>
              <w:rPr>
                <w:b w:val="0"/>
              </w:rPr>
            </w:pPr>
            <w:r w:rsidRPr="00444F0F">
              <w:rPr>
                <w:b w:val="0"/>
                <w:lang w:val="da-DK" w:bidi="da-DK"/>
              </w:rPr>
              <w:t>Grundløn</w:t>
            </w:r>
          </w:p>
        </w:tc>
        <w:tc>
          <w:tcPr>
            <w:tcW w:w="3769" w:type="dxa"/>
          </w:tcPr>
          <w:p w14:paraId="7C9F80AA" w14:textId="77777777" w:rsidR="004D1329" w:rsidRPr="00444F0F" w:rsidRDefault="004D1329" w:rsidP="00962F6C">
            <w:pPr>
              <w:jc w:val="both"/>
              <w:cnfStyle w:val="000000000000" w:firstRow="0" w:lastRow="0" w:firstColumn="0" w:lastColumn="0" w:oddVBand="0" w:evenVBand="0" w:oddHBand="0" w:evenHBand="0" w:firstRowFirstColumn="0" w:firstRowLastColumn="0" w:lastRowFirstColumn="0" w:lastRowLastColumn="0"/>
            </w:pPr>
            <w:r w:rsidRPr="00444F0F">
              <w:rPr>
                <w:lang w:val="da-DK" w:bidi="da-DK"/>
              </w:rPr>
              <w:t>Kontant</w:t>
            </w:r>
          </w:p>
        </w:tc>
      </w:tr>
      <w:tr w:rsidR="004D1329" w:rsidRPr="00444F0F" w14:paraId="19D418BE" w14:textId="77777777" w:rsidTr="005224C8">
        <w:trPr>
          <w:trHeight w:val="662"/>
        </w:trPr>
        <w:tc>
          <w:tcPr>
            <w:cnfStyle w:val="001000000000" w:firstRow="0" w:lastRow="0" w:firstColumn="1" w:lastColumn="0" w:oddVBand="0" w:evenVBand="0" w:oddHBand="0" w:evenHBand="0" w:firstRowFirstColumn="0" w:firstRowLastColumn="0" w:lastRowFirstColumn="0" w:lastRowLastColumn="0"/>
            <w:tcW w:w="3769" w:type="dxa"/>
          </w:tcPr>
          <w:p w14:paraId="489B0703" w14:textId="08BD8BB1" w:rsidR="004D1329" w:rsidRPr="00444F0F" w:rsidRDefault="004D1329" w:rsidP="00962F6C">
            <w:pPr>
              <w:jc w:val="both"/>
              <w:rPr>
                <w:b w:val="0"/>
              </w:rPr>
            </w:pPr>
            <w:r w:rsidRPr="00444F0F">
              <w:rPr>
                <w:b w:val="0"/>
                <w:lang w:val="da-DK" w:bidi="da-DK"/>
              </w:rPr>
              <w:t>Kortsigtet incitamentsprogram</w:t>
            </w:r>
          </w:p>
        </w:tc>
        <w:tc>
          <w:tcPr>
            <w:tcW w:w="3769" w:type="dxa"/>
          </w:tcPr>
          <w:p w14:paraId="7E68E989" w14:textId="77777777" w:rsidR="004D1329" w:rsidRPr="00444F0F" w:rsidRDefault="004D1329" w:rsidP="00962F6C">
            <w:pPr>
              <w:jc w:val="both"/>
              <w:cnfStyle w:val="000000000000" w:firstRow="0" w:lastRow="0" w:firstColumn="0" w:lastColumn="0" w:oddVBand="0" w:evenVBand="0" w:oddHBand="0" w:evenHBand="0" w:firstRowFirstColumn="0" w:firstRowLastColumn="0" w:lastRowFirstColumn="0" w:lastRowLastColumn="0"/>
            </w:pPr>
            <w:r w:rsidRPr="00444F0F">
              <w:rPr>
                <w:lang w:val="da-DK" w:bidi="da-DK"/>
              </w:rPr>
              <w:t>Kontant</w:t>
            </w:r>
          </w:p>
        </w:tc>
      </w:tr>
      <w:tr w:rsidR="004D1329" w:rsidRPr="00444F0F" w14:paraId="4B79779B" w14:textId="77777777" w:rsidTr="005224C8">
        <w:trPr>
          <w:trHeight w:val="213"/>
        </w:trPr>
        <w:tc>
          <w:tcPr>
            <w:cnfStyle w:val="001000000000" w:firstRow="0" w:lastRow="0" w:firstColumn="1" w:lastColumn="0" w:oddVBand="0" w:evenVBand="0" w:oddHBand="0" w:evenHBand="0" w:firstRowFirstColumn="0" w:firstRowLastColumn="0" w:lastRowFirstColumn="0" w:lastRowLastColumn="0"/>
            <w:tcW w:w="3769" w:type="dxa"/>
          </w:tcPr>
          <w:p w14:paraId="78C6011E" w14:textId="6AA4B075" w:rsidR="004D1329" w:rsidRPr="00444F0F" w:rsidRDefault="004D1329" w:rsidP="00962F6C">
            <w:pPr>
              <w:jc w:val="both"/>
              <w:rPr>
                <w:b w:val="0"/>
              </w:rPr>
            </w:pPr>
            <w:r w:rsidRPr="00444F0F">
              <w:rPr>
                <w:b w:val="0"/>
                <w:lang w:val="da-DK" w:bidi="da-DK"/>
              </w:rPr>
              <w:t>Langsigtet incitamentsprogram</w:t>
            </w:r>
          </w:p>
        </w:tc>
        <w:tc>
          <w:tcPr>
            <w:tcW w:w="3769" w:type="dxa"/>
          </w:tcPr>
          <w:p w14:paraId="5F25E2C5" w14:textId="77777777" w:rsidR="004D1329" w:rsidRPr="00444F0F" w:rsidRDefault="004D1329" w:rsidP="00962F6C">
            <w:pPr>
              <w:jc w:val="both"/>
              <w:cnfStyle w:val="000000000000" w:firstRow="0" w:lastRow="0" w:firstColumn="0" w:lastColumn="0" w:oddVBand="0" w:evenVBand="0" w:oddHBand="0" w:evenHBand="0" w:firstRowFirstColumn="0" w:firstRowLastColumn="0" w:lastRowFirstColumn="0" w:lastRowLastColumn="0"/>
            </w:pPr>
            <w:r w:rsidRPr="00444F0F">
              <w:rPr>
                <w:lang w:val="da-DK" w:bidi="da-DK"/>
              </w:rPr>
              <w:t xml:space="preserve">Aktier </w:t>
            </w:r>
          </w:p>
        </w:tc>
      </w:tr>
      <w:tr w:rsidR="004D1329" w:rsidRPr="00444F0F" w14:paraId="57F655C4" w14:textId="77777777" w:rsidTr="005224C8">
        <w:trPr>
          <w:trHeight w:val="224"/>
        </w:trPr>
        <w:tc>
          <w:tcPr>
            <w:cnfStyle w:val="001000000000" w:firstRow="0" w:lastRow="0" w:firstColumn="1" w:lastColumn="0" w:oddVBand="0" w:evenVBand="0" w:oddHBand="0" w:evenHBand="0" w:firstRowFirstColumn="0" w:firstRowLastColumn="0" w:lastRowFirstColumn="0" w:lastRowLastColumn="0"/>
            <w:tcW w:w="3769" w:type="dxa"/>
          </w:tcPr>
          <w:p w14:paraId="0DEE5F8F" w14:textId="77777777" w:rsidR="004D1329" w:rsidRPr="00444F0F" w:rsidRDefault="004D1329" w:rsidP="00962F6C">
            <w:pPr>
              <w:jc w:val="both"/>
              <w:rPr>
                <w:b w:val="0"/>
              </w:rPr>
            </w:pPr>
            <w:r w:rsidRPr="00444F0F">
              <w:rPr>
                <w:b w:val="0"/>
                <w:lang w:val="da-DK" w:bidi="da-DK"/>
              </w:rPr>
              <w:t>Goder</w:t>
            </w:r>
          </w:p>
        </w:tc>
        <w:tc>
          <w:tcPr>
            <w:tcW w:w="3769" w:type="dxa"/>
          </w:tcPr>
          <w:p w14:paraId="0CD4BA28" w14:textId="77777777" w:rsidR="004D1329" w:rsidRPr="00444F0F" w:rsidRDefault="004D1329" w:rsidP="00962F6C">
            <w:pPr>
              <w:jc w:val="both"/>
              <w:cnfStyle w:val="000000000000" w:firstRow="0" w:lastRow="0" w:firstColumn="0" w:lastColumn="0" w:oddVBand="0" w:evenVBand="0" w:oddHBand="0" w:evenHBand="0" w:firstRowFirstColumn="0" w:firstRowLastColumn="0" w:lastRowFirstColumn="0" w:lastRowLastColumn="0"/>
            </w:pPr>
            <w:r w:rsidRPr="00444F0F">
              <w:rPr>
                <w:lang w:val="da-DK" w:bidi="da-DK"/>
              </w:rPr>
              <w:t>Kontante fordele eller kontantbeløb</w:t>
            </w:r>
          </w:p>
        </w:tc>
      </w:tr>
      <w:tr w:rsidR="004D1329" w:rsidRPr="00444F0F" w14:paraId="266A5FB2" w14:textId="77777777" w:rsidTr="005224C8">
        <w:trPr>
          <w:trHeight w:val="224"/>
        </w:trPr>
        <w:tc>
          <w:tcPr>
            <w:cnfStyle w:val="001000000000" w:firstRow="0" w:lastRow="0" w:firstColumn="1" w:lastColumn="0" w:oddVBand="0" w:evenVBand="0" w:oddHBand="0" w:evenHBand="0" w:firstRowFirstColumn="0" w:firstRowLastColumn="0" w:lastRowFirstColumn="0" w:lastRowLastColumn="0"/>
            <w:tcW w:w="3769" w:type="dxa"/>
          </w:tcPr>
          <w:p w14:paraId="204513C0" w14:textId="77777777" w:rsidR="004D1329" w:rsidRPr="00444F0F" w:rsidRDefault="004D1329" w:rsidP="00962F6C">
            <w:pPr>
              <w:jc w:val="both"/>
              <w:rPr>
                <w:b w:val="0"/>
              </w:rPr>
            </w:pPr>
            <w:r w:rsidRPr="00444F0F">
              <w:rPr>
                <w:b w:val="0"/>
                <w:lang w:val="da-DK" w:bidi="da-DK"/>
              </w:rPr>
              <w:t>Andre incitamenter</w:t>
            </w:r>
          </w:p>
        </w:tc>
        <w:tc>
          <w:tcPr>
            <w:tcW w:w="3769" w:type="dxa"/>
          </w:tcPr>
          <w:p w14:paraId="15137489" w14:textId="4B126A52" w:rsidR="004D1329" w:rsidRPr="00444F0F" w:rsidRDefault="004D1329" w:rsidP="00962F6C">
            <w:pPr>
              <w:jc w:val="both"/>
              <w:cnfStyle w:val="000000000000" w:firstRow="0" w:lastRow="0" w:firstColumn="0" w:lastColumn="0" w:oddVBand="0" w:evenVBand="0" w:oddHBand="0" w:evenHBand="0" w:firstRowFirstColumn="0" w:firstRowLastColumn="0" w:lastRowFirstColumn="0" w:lastRowLastColumn="0"/>
            </w:pPr>
            <w:r w:rsidRPr="00444F0F">
              <w:rPr>
                <w:lang w:val="da-DK" w:bidi="da-DK"/>
              </w:rPr>
              <w:t>Kontanter eller aktier</w:t>
            </w:r>
          </w:p>
        </w:tc>
      </w:tr>
    </w:tbl>
    <w:p w14:paraId="59E604C8" w14:textId="77777777" w:rsidR="00640C9B" w:rsidRPr="00444F0F" w:rsidRDefault="00640C9B" w:rsidP="00962F6C">
      <w:pPr>
        <w:jc w:val="both"/>
      </w:pPr>
    </w:p>
    <w:p w14:paraId="685253AE" w14:textId="7173D6C0" w:rsidR="002E72FE" w:rsidRPr="003B0E1F" w:rsidRDefault="002E72FE" w:rsidP="00962F6C">
      <w:pPr>
        <w:pStyle w:val="Heading2"/>
        <w:ind w:left="822"/>
        <w:jc w:val="both"/>
        <w:rPr>
          <w:b w:val="0"/>
          <w:lang w:val="da-DK"/>
        </w:rPr>
      </w:pPr>
      <w:r w:rsidRPr="00444F0F">
        <w:rPr>
          <w:b w:val="0"/>
          <w:lang w:val="da-DK" w:bidi="da-DK"/>
        </w:rPr>
        <w:t xml:space="preserve">Aflønningskomitéen bistår bestyrelsen med at vurdere og fastlægge koncerndirektionens aflønningsvilkår. Én gang årligt eller ved behov for en ikke-planlagt justering for at sikre opfyldelse af formålene i pkt. 2.1 i denne </w:t>
      </w:r>
      <w:r w:rsidR="00E50D49">
        <w:rPr>
          <w:b w:val="0"/>
          <w:lang w:val="da-DK" w:bidi="da-DK"/>
        </w:rPr>
        <w:t>vederlagspolitik</w:t>
      </w:r>
      <w:r w:rsidR="00570AF7">
        <w:rPr>
          <w:b w:val="0"/>
          <w:lang w:val="da-DK" w:bidi="da-DK"/>
        </w:rPr>
        <w:t>,</w:t>
      </w:r>
      <w:r w:rsidRPr="00444F0F">
        <w:rPr>
          <w:b w:val="0"/>
          <w:lang w:val="da-DK" w:bidi="da-DK"/>
        </w:rPr>
        <w:t xml:space="preserve"> træffer bestyrelsen beslutning om eventuelle justeringer af koncernledelsens samlede aflønning i henhold til bestyrelsens procedurer for sådanne justeringer. </w:t>
      </w:r>
    </w:p>
    <w:p w14:paraId="3961310C" w14:textId="77777777" w:rsidR="009A5081" w:rsidRPr="003B0E1F" w:rsidRDefault="009A5081" w:rsidP="00962F6C">
      <w:pPr>
        <w:jc w:val="both"/>
        <w:rPr>
          <w:lang w:val="da-DK"/>
        </w:rPr>
      </w:pPr>
    </w:p>
    <w:p w14:paraId="60A37658" w14:textId="77777777" w:rsidR="00C12F71" w:rsidRPr="003B0E1F" w:rsidRDefault="005224C8" w:rsidP="00962F6C">
      <w:pPr>
        <w:pStyle w:val="Heading3"/>
        <w:ind w:left="822"/>
        <w:jc w:val="both"/>
        <w:rPr>
          <w:b w:val="0"/>
          <w:i/>
          <w:lang w:val="da-DK"/>
        </w:rPr>
      </w:pPr>
      <w:r w:rsidRPr="00444F0F">
        <w:rPr>
          <w:b w:val="0"/>
          <w:i/>
          <w:lang w:val="da-DK" w:bidi="da-DK"/>
        </w:rPr>
        <w:t>Grundløn</w:t>
      </w:r>
    </w:p>
    <w:p w14:paraId="79FFF7C4" w14:textId="77777777" w:rsidR="00953325" w:rsidRPr="003E0C48" w:rsidRDefault="00AF1211" w:rsidP="00962F6C">
      <w:pPr>
        <w:ind w:left="822"/>
        <w:jc w:val="both"/>
        <w:rPr>
          <w:rFonts w:cs="Arial"/>
          <w:bCs/>
          <w:kern w:val="32"/>
          <w:szCs w:val="32"/>
          <w:lang w:val="da-DK" w:bidi="da-DK"/>
        </w:rPr>
      </w:pPr>
      <w:r w:rsidRPr="003E0C48">
        <w:rPr>
          <w:rFonts w:cs="Arial"/>
          <w:bCs/>
          <w:kern w:val="32"/>
          <w:szCs w:val="32"/>
          <w:lang w:val="da-DK" w:bidi="da-DK"/>
        </w:rPr>
        <w:t>Grundlønnen betragtes som grundlaget for den samlede aflønningsramme, der tilbydes koncerndirektionen. Grundlønnen fastsættes af bestyrelsen på baggrund af flere forskellige faktorer, hvoraf de vigtigste er:</w:t>
      </w:r>
    </w:p>
    <w:p w14:paraId="6BD10653" w14:textId="77777777" w:rsidR="00116D2E" w:rsidRPr="003B0E1F" w:rsidRDefault="00116D2E" w:rsidP="00962F6C">
      <w:pPr>
        <w:ind w:left="822"/>
        <w:jc w:val="both"/>
        <w:rPr>
          <w:rFonts w:cs="Arial"/>
          <w:bCs/>
          <w:kern w:val="32"/>
          <w:szCs w:val="32"/>
          <w:lang w:val="da-DK"/>
        </w:rPr>
      </w:pPr>
    </w:p>
    <w:p w14:paraId="4CEC7C30" w14:textId="63ACE559" w:rsidR="00953325" w:rsidRPr="00444F0F" w:rsidRDefault="00953325" w:rsidP="00962F6C">
      <w:pPr>
        <w:pStyle w:val="Normal-Bullet"/>
        <w:jc w:val="both"/>
      </w:pPr>
      <w:r w:rsidRPr="00444F0F">
        <w:rPr>
          <w:lang w:val="da-DK" w:bidi="da-DK"/>
        </w:rPr>
        <w:t xml:space="preserve">Grundlønsniveauet på markedet </w:t>
      </w:r>
    </w:p>
    <w:p w14:paraId="276515C8" w14:textId="7436751B" w:rsidR="00953325" w:rsidRPr="003B0E1F" w:rsidRDefault="00606B74" w:rsidP="00962F6C">
      <w:pPr>
        <w:pStyle w:val="Normal-Bullet"/>
        <w:jc w:val="both"/>
        <w:rPr>
          <w:lang w:val="da-DK"/>
        </w:rPr>
      </w:pPr>
      <w:r>
        <w:rPr>
          <w:lang w:val="da-DK" w:bidi="da-DK"/>
        </w:rPr>
        <w:t>Kompetencer, erfaring og baggrund i forhold til stillingskravene</w:t>
      </w:r>
    </w:p>
    <w:p w14:paraId="6C01530D" w14:textId="32050D0A" w:rsidR="005224C8" w:rsidRPr="003B0E1F" w:rsidRDefault="00606B74" w:rsidP="00962F6C">
      <w:pPr>
        <w:pStyle w:val="Normal-Bullet"/>
        <w:jc w:val="both"/>
        <w:rPr>
          <w:lang w:val="da-DK"/>
        </w:rPr>
      </w:pPr>
      <w:r>
        <w:rPr>
          <w:lang w:val="da-DK" w:bidi="da-DK"/>
        </w:rPr>
        <w:t xml:space="preserve">De resultater der leveres i stillingen, herunder kontinuiteten i resultaterne </w:t>
      </w:r>
    </w:p>
    <w:p w14:paraId="09DBF8CF" w14:textId="77777777" w:rsidR="00F14E89" w:rsidRPr="003B0E1F" w:rsidRDefault="00F14E89" w:rsidP="00F14E89">
      <w:pPr>
        <w:pStyle w:val="Normal-Bullet"/>
        <w:numPr>
          <w:ilvl w:val="0"/>
          <w:numId w:val="0"/>
        </w:numPr>
        <w:ind w:left="822"/>
        <w:jc w:val="both"/>
        <w:rPr>
          <w:lang w:val="da-DK"/>
        </w:rPr>
      </w:pPr>
    </w:p>
    <w:p w14:paraId="56E4E401" w14:textId="26AF9D63" w:rsidR="00080D38" w:rsidRPr="003B0E1F" w:rsidRDefault="00950152" w:rsidP="002A62EF">
      <w:pPr>
        <w:pStyle w:val="Normal-Bullet"/>
        <w:numPr>
          <w:ilvl w:val="0"/>
          <w:numId w:val="0"/>
        </w:numPr>
        <w:ind w:left="822"/>
        <w:jc w:val="both"/>
        <w:rPr>
          <w:lang w:val="da-DK"/>
        </w:rPr>
      </w:pPr>
      <w:r>
        <w:rPr>
          <w:lang w:val="da-DK" w:bidi="da-DK"/>
        </w:rPr>
        <w:t xml:space="preserve">I overensstemmelse med de principper, der anvendes globalt i koncernen, sammenlignes koncerndirektionens grundløn med lignende stillinger på </w:t>
      </w:r>
      <w:bookmarkStart w:id="2" w:name="_Hlk32232428"/>
      <w:r>
        <w:rPr>
          <w:lang w:val="da-DK" w:bidi="da-DK"/>
        </w:rPr>
        <w:t xml:space="preserve">det lokale marked ved hjælp af eksterne data.  </w:t>
      </w:r>
      <w:bookmarkEnd w:id="2"/>
    </w:p>
    <w:p w14:paraId="260BED28" w14:textId="77777777" w:rsidR="00B179A8" w:rsidRPr="003B0E1F" w:rsidRDefault="00B179A8" w:rsidP="002A62EF">
      <w:pPr>
        <w:pStyle w:val="Normal-Bullet"/>
        <w:numPr>
          <w:ilvl w:val="0"/>
          <w:numId w:val="0"/>
        </w:numPr>
        <w:ind w:left="822"/>
        <w:jc w:val="both"/>
        <w:rPr>
          <w:rFonts w:cs="Arial"/>
          <w:bCs/>
          <w:kern w:val="32"/>
          <w:szCs w:val="32"/>
          <w:lang w:val="da-DK" w:eastAsia="da-DK"/>
        </w:rPr>
      </w:pPr>
    </w:p>
    <w:p w14:paraId="3295D580" w14:textId="3C9271C5" w:rsidR="005224C8" w:rsidRPr="003B0E1F" w:rsidRDefault="00C12F71" w:rsidP="00962F6C">
      <w:pPr>
        <w:pStyle w:val="Heading3"/>
        <w:ind w:left="822"/>
        <w:jc w:val="both"/>
        <w:rPr>
          <w:b w:val="0"/>
          <w:i/>
          <w:lang w:val="da-DK"/>
        </w:rPr>
      </w:pPr>
      <w:bookmarkStart w:id="3" w:name="_Ref409599098"/>
      <w:r w:rsidRPr="00444F0F">
        <w:rPr>
          <w:b w:val="0"/>
          <w:i/>
          <w:lang w:val="da-DK" w:bidi="da-DK"/>
        </w:rPr>
        <w:t>Kortsigtet incitamentsprogram</w:t>
      </w:r>
      <w:bookmarkEnd w:id="3"/>
      <w:r w:rsidRPr="00444F0F">
        <w:rPr>
          <w:b w:val="0"/>
          <w:i/>
          <w:lang w:val="da-DK" w:bidi="da-DK"/>
        </w:rPr>
        <w:t xml:space="preserve"> </w:t>
      </w:r>
    </w:p>
    <w:p w14:paraId="392C4B4B" w14:textId="77777777" w:rsidR="001F0B3D" w:rsidRPr="003B0E1F" w:rsidRDefault="001F0B3D" w:rsidP="00962F6C">
      <w:pPr>
        <w:pStyle w:val="Heading1"/>
        <w:spacing w:line="240" w:lineRule="atLeast"/>
        <w:ind w:left="822"/>
        <w:jc w:val="both"/>
        <w:rPr>
          <w:lang w:val="da-DK"/>
        </w:rPr>
      </w:pPr>
      <w:r w:rsidRPr="00444F0F">
        <w:rPr>
          <w:b w:val="0"/>
          <w:lang w:val="da-DK" w:bidi="da-DK"/>
        </w:rPr>
        <w:t xml:space="preserve">Formålet med det kontante incitament er at drive og motivere koncerndirektionen til at opfylde Selskabets kortsigtede mål.  </w:t>
      </w:r>
    </w:p>
    <w:p w14:paraId="73515422" w14:textId="77777777" w:rsidR="001F0B3D" w:rsidRPr="003B0E1F" w:rsidRDefault="001F0B3D" w:rsidP="00962F6C">
      <w:pPr>
        <w:pStyle w:val="Heading1"/>
        <w:spacing w:line="240" w:lineRule="atLeast"/>
        <w:ind w:left="822"/>
        <w:jc w:val="both"/>
        <w:rPr>
          <w:lang w:val="da-DK"/>
        </w:rPr>
      </w:pPr>
    </w:p>
    <w:p w14:paraId="12159F08" w14:textId="13E8A249" w:rsidR="001F0B3D" w:rsidRPr="003B0E1F" w:rsidRDefault="00C12F71" w:rsidP="00962F6C">
      <w:pPr>
        <w:pStyle w:val="Heading1"/>
        <w:spacing w:line="240" w:lineRule="atLeast"/>
        <w:ind w:left="822"/>
        <w:jc w:val="both"/>
        <w:rPr>
          <w:b w:val="0"/>
          <w:lang w:val="da-DK"/>
        </w:rPr>
      </w:pPr>
      <w:r w:rsidRPr="00444F0F">
        <w:rPr>
          <w:b w:val="0"/>
          <w:lang w:val="da-DK" w:bidi="da-DK"/>
        </w:rPr>
        <w:t xml:space="preserve">Koncerndirektionen kan få et årligt kontant incitament, som ikke må overstige 75 % af grundlønnen for det pågældende år. Det enkelte mål og de maksimale niveauer for det kontante incitament for koncerndirektionen er fastsat som en del af den løbende aflønningsjustering. </w:t>
      </w:r>
    </w:p>
    <w:p w14:paraId="6282A0FD" w14:textId="77777777" w:rsidR="00953325" w:rsidRPr="003B0E1F" w:rsidRDefault="00953325" w:rsidP="00962F6C">
      <w:pPr>
        <w:jc w:val="both"/>
        <w:rPr>
          <w:lang w:val="da-DK"/>
        </w:rPr>
      </w:pPr>
    </w:p>
    <w:p w14:paraId="4866F4C2" w14:textId="52C1F359" w:rsidR="000C3707" w:rsidRPr="003B0E1F" w:rsidRDefault="002A0955" w:rsidP="00962F6C">
      <w:pPr>
        <w:pStyle w:val="Heading3"/>
        <w:ind w:left="822"/>
        <w:jc w:val="both"/>
        <w:rPr>
          <w:b w:val="0"/>
          <w:lang w:val="da-DK"/>
        </w:rPr>
      </w:pPr>
      <w:r>
        <w:rPr>
          <w:b w:val="0"/>
          <w:lang w:val="da-DK" w:bidi="da-DK"/>
        </w:rPr>
        <w:t xml:space="preserve">Hvert år i forbindelse med udsendelse af det årlige kortsigtede incitamentsprogram modtager koncerndirektionen en række forudfastsatte KPI'er (Key Performance Indicators), </w:t>
      </w:r>
      <w:bookmarkStart w:id="4" w:name="_Hlk32232523"/>
      <w:r>
        <w:rPr>
          <w:b w:val="0"/>
          <w:lang w:val="da-DK" w:bidi="da-DK"/>
        </w:rPr>
        <w:t xml:space="preserve">i forhold til hvilke </w:t>
      </w:r>
      <w:bookmarkStart w:id="5" w:name="_Hlk32232507"/>
      <w:r w:rsidR="00247EDF">
        <w:rPr>
          <w:b w:val="0"/>
          <w:lang w:val="da-DK" w:bidi="da-DK"/>
        </w:rPr>
        <w:lastRenderedPageBreak/>
        <w:t>resultatopnåelse</w:t>
      </w:r>
      <w:r>
        <w:rPr>
          <w:b w:val="0"/>
          <w:lang w:val="da-DK" w:bidi="da-DK"/>
        </w:rPr>
        <w:t xml:space="preserve"> </w:t>
      </w:r>
      <w:bookmarkEnd w:id="5"/>
      <w:r>
        <w:rPr>
          <w:b w:val="0"/>
          <w:lang w:val="da-DK" w:bidi="da-DK"/>
        </w:rPr>
        <w:t>måles</w:t>
      </w:r>
      <w:bookmarkEnd w:id="4"/>
      <w:r>
        <w:rPr>
          <w:b w:val="0"/>
          <w:lang w:val="da-DK" w:bidi="da-DK"/>
        </w:rPr>
        <w:t xml:space="preserve">. Den endelige værdi af det kontante incitamentsbeløb afhænger derfor af graden af opnåelse af disse KPI'er. </w:t>
      </w:r>
    </w:p>
    <w:p w14:paraId="30C89111" w14:textId="77777777" w:rsidR="000C3707" w:rsidRPr="003B0E1F" w:rsidRDefault="000C3707" w:rsidP="00962F6C">
      <w:pPr>
        <w:pStyle w:val="Heading3"/>
        <w:ind w:left="822"/>
        <w:jc w:val="both"/>
        <w:rPr>
          <w:b w:val="0"/>
          <w:lang w:val="da-DK"/>
        </w:rPr>
      </w:pPr>
    </w:p>
    <w:p w14:paraId="197203CF" w14:textId="358ADB88" w:rsidR="00C12F71" w:rsidRPr="003B0E1F" w:rsidRDefault="00EB657D" w:rsidP="00962F6C">
      <w:pPr>
        <w:pStyle w:val="Heading3"/>
        <w:ind w:left="822"/>
        <w:jc w:val="both"/>
        <w:rPr>
          <w:b w:val="0"/>
          <w:lang w:val="da-DK"/>
        </w:rPr>
      </w:pPr>
      <w:r w:rsidRPr="00444F0F">
        <w:rPr>
          <w:b w:val="0"/>
          <w:lang w:val="da-DK" w:bidi="da-DK"/>
        </w:rPr>
        <w:t xml:space="preserve">For at sikre, at koncerndirektionen har det nødvendige fokus på den kortsigtede strategiudførelse og værdiskabelse for aktionærerne, skal de finansielle KPI'er vægte væsentligt højere end andre (eventuelle) KPI'er i programmet. De finansielle KPI'er defineres i forbindelse med den årlige budgetproces. For alle KPI'er skal et opfyldelsesniveau på 100 % medføre en måludbetaling for den givne KPI. </w:t>
      </w:r>
      <w:bookmarkStart w:id="6" w:name="_Hlk32232606"/>
      <w:r w:rsidRPr="00444F0F">
        <w:rPr>
          <w:b w:val="0"/>
          <w:lang w:val="da-DK" w:bidi="da-DK"/>
        </w:rPr>
        <w:t xml:space="preserve">Maksimal udbetaling for en given KPI kræver </w:t>
      </w:r>
      <w:r w:rsidR="00247EDF">
        <w:rPr>
          <w:b w:val="0"/>
          <w:lang w:val="da-DK" w:bidi="da-DK"/>
        </w:rPr>
        <w:t>et resultat</w:t>
      </w:r>
      <w:r w:rsidRPr="00444F0F">
        <w:rPr>
          <w:b w:val="0"/>
          <w:lang w:val="da-DK" w:bidi="da-DK"/>
        </w:rPr>
        <w:t xml:space="preserve">, der ligger væsentligt over den målsatte </w:t>
      </w:r>
      <w:r w:rsidR="00247EDF">
        <w:rPr>
          <w:b w:val="0"/>
          <w:lang w:val="da-DK" w:bidi="da-DK"/>
        </w:rPr>
        <w:t>KPI</w:t>
      </w:r>
      <w:r w:rsidRPr="00444F0F">
        <w:rPr>
          <w:b w:val="0"/>
          <w:lang w:val="da-DK" w:bidi="da-DK"/>
        </w:rPr>
        <w:t xml:space="preserve">. Et minimumsniveau for </w:t>
      </w:r>
      <w:r w:rsidR="00247EDF">
        <w:rPr>
          <w:b w:val="0"/>
          <w:lang w:val="da-DK" w:bidi="da-DK"/>
        </w:rPr>
        <w:t>resultat</w:t>
      </w:r>
      <w:r w:rsidRPr="00444F0F">
        <w:rPr>
          <w:b w:val="0"/>
          <w:lang w:val="da-DK" w:bidi="da-DK"/>
        </w:rPr>
        <w:t xml:space="preserve"> skal opnås for at være berettiget til kontantincitamentets startbetaling. </w:t>
      </w:r>
    </w:p>
    <w:bookmarkEnd w:id="6"/>
    <w:p w14:paraId="4608CC61" w14:textId="77777777" w:rsidR="00C12F71" w:rsidRPr="003B0E1F" w:rsidRDefault="00C12F71" w:rsidP="00962F6C">
      <w:pPr>
        <w:pStyle w:val="Heading3"/>
        <w:ind w:left="822"/>
        <w:jc w:val="both"/>
        <w:rPr>
          <w:b w:val="0"/>
          <w:lang w:val="da-DK"/>
        </w:rPr>
      </w:pPr>
    </w:p>
    <w:p w14:paraId="5A957735" w14:textId="0D845516" w:rsidR="000C3707" w:rsidRPr="003B0E1F" w:rsidRDefault="0049415F" w:rsidP="00962F6C">
      <w:pPr>
        <w:pStyle w:val="Heading3"/>
        <w:ind w:left="822"/>
        <w:jc w:val="both"/>
        <w:rPr>
          <w:b w:val="0"/>
          <w:lang w:val="da-DK"/>
        </w:rPr>
      </w:pPr>
      <w:r w:rsidRPr="00444F0F">
        <w:rPr>
          <w:b w:val="0"/>
          <w:lang w:val="da-DK" w:bidi="da-DK"/>
        </w:rPr>
        <w:t xml:space="preserve">Ud over opfyldelsen af de årlige KPI'er og for at sikre den rette balance </w:t>
      </w:r>
      <w:bookmarkStart w:id="7" w:name="_Hlk32232717"/>
      <w:r w:rsidRPr="00444F0F">
        <w:rPr>
          <w:b w:val="0"/>
          <w:lang w:val="da-DK" w:bidi="da-DK"/>
        </w:rPr>
        <w:t xml:space="preserve">mellem Selskabets finansielle </w:t>
      </w:r>
      <w:r w:rsidR="00247EDF">
        <w:rPr>
          <w:b w:val="0"/>
          <w:lang w:val="da-DK" w:bidi="da-DK"/>
        </w:rPr>
        <w:t>resultater</w:t>
      </w:r>
      <w:r w:rsidRPr="00444F0F">
        <w:rPr>
          <w:b w:val="0"/>
          <w:lang w:val="da-DK" w:bidi="da-DK"/>
        </w:rPr>
        <w:t xml:space="preserve"> og udbetaling af det kontante incitamentsbeløb</w:t>
      </w:r>
      <w:bookmarkEnd w:id="7"/>
      <w:r w:rsidRPr="00444F0F">
        <w:rPr>
          <w:b w:val="0"/>
          <w:lang w:val="da-DK" w:bidi="da-DK"/>
        </w:rPr>
        <w:t xml:space="preserve">, kan denne udbetaling gøres helt eller delvist betinget af Selskabets opnåelse af en eller flere yderligere finansielle minimumsgrænser. </w:t>
      </w:r>
    </w:p>
    <w:p w14:paraId="330B2185" w14:textId="77777777" w:rsidR="000C3707" w:rsidRPr="003B0E1F" w:rsidRDefault="000C3707" w:rsidP="00962F6C">
      <w:pPr>
        <w:pStyle w:val="Heading3"/>
        <w:ind w:left="822"/>
        <w:jc w:val="both"/>
        <w:rPr>
          <w:b w:val="0"/>
          <w:lang w:val="da-DK"/>
        </w:rPr>
      </w:pPr>
    </w:p>
    <w:p w14:paraId="4D11A90F" w14:textId="1D9B80B9" w:rsidR="000277B5" w:rsidRPr="003B0E1F" w:rsidRDefault="000C3707" w:rsidP="00962F6C">
      <w:pPr>
        <w:pStyle w:val="Heading3"/>
        <w:ind w:left="822"/>
        <w:jc w:val="both"/>
        <w:rPr>
          <w:b w:val="0"/>
          <w:lang w:val="da-DK"/>
        </w:rPr>
      </w:pPr>
      <w:r w:rsidRPr="00444F0F">
        <w:rPr>
          <w:b w:val="0"/>
          <w:lang w:val="da-DK" w:bidi="da-DK"/>
        </w:rPr>
        <w:t xml:space="preserve">Bestyrelsen har den overordnede bemyndigelse til at beslutte den endelige udformning af det årlige kortsigtede incitamentsprogram for koncerndirektionen. Hvis det skønnes nødvendigt for at opfylde formålene i pkt. 2.1 ovenfor, kan bestyrelsen beslutte at afvige fra udformningen af det kortsigtede incitamentsprogram som beskrevet ovenfor. </w:t>
      </w:r>
    </w:p>
    <w:p w14:paraId="398F71B3" w14:textId="77777777" w:rsidR="000277B5" w:rsidRPr="003B0E1F" w:rsidRDefault="000277B5" w:rsidP="00962F6C">
      <w:pPr>
        <w:pStyle w:val="Heading3"/>
        <w:ind w:left="822"/>
        <w:jc w:val="both"/>
        <w:rPr>
          <w:b w:val="0"/>
          <w:lang w:val="da-DK"/>
        </w:rPr>
      </w:pPr>
    </w:p>
    <w:p w14:paraId="4F09C448" w14:textId="065E7FD4" w:rsidR="000E1758" w:rsidRPr="003B0E1F" w:rsidRDefault="000E1758" w:rsidP="00962F6C">
      <w:pPr>
        <w:pStyle w:val="Heading3"/>
        <w:ind w:left="822"/>
        <w:jc w:val="both"/>
        <w:rPr>
          <w:b w:val="0"/>
          <w:lang w:val="da-DK"/>
        </w:rPr>
      </w:pPr>
      <w:r w:rsidRPr="00444F0F">
        <w:rPr>
          <w:b w:val="0"/>
          <w:lang w:val="da-DK" w:bidi="da-DK"/>
        </w:rPr>
        <w:t xml:space="preserve">I den årlige aflønningsrapport vil bestyrelsen </w:t>
      </w:r>
      <w:r w:rsidR="003E14AD">
        <w:rPr>
          <w:b w:val="0"/>
          <w:lang w:val="da-DK" w:bidi="da-DK"/>
        </w:rPr>
        <w:t>fremvise</w:t>
      </w:r>
      <w:r w:rsidRPr="00444F0F">
        <w:rPr>
          <w:b w:val="0"/>
          <w:lang w:val="da-DK" w:bidi="da-DK"/>
        </w:rPr>
        <w:t xml:space="preserve"> en retrospektiv oversigt over det kortsigtede incitamentsprogram for koncerndirektionen bestående af de målsatte og maksimale kortsigtede incitamentsniveauer og så vidt muligt også de overordnede opfyldelsesniveauer. </w:t>
      </w:r>
    </w:p>
    <w:p w14:paraId="44BBD958" w14:textId="77777777" w:rsidR="000E1758" w:rsidRPr="003B0E1F" w:rsidRDefault="000E1758" w:rsidP="00962F6C">
      <w:pPr>
        <w:pStyle w:val="Heading3"/>
        <w:ind w:left="822"/>
        <w:jc w:val="both"/>
        <w:rPr>
          <w:b w:val="0"/>
          <w:lang w:val="da-DK"/>
        </w:rPr>
      </w:pPr>
    </w:p>
    <w:p w14:paraId="758DE0FA" w14:textId="18A04205" w:rsidR="00C12F71" w:rsidRPr="003B0E1F" w:rsidRDefault="00C12F71" w:rsidP="00962F6C">
      <w:pPr>
        <w:pStyle w:val="Heading1"/>
        <w:spacing w:line="240" w:lineRule="atLeast"/>
        <w:ind w:left="822"/>
        <w:jc w:val="both"/>
        <w:rPr>
          <w:b w:val="0"/>
          <w:i/>
          <w:lang w:val="da-DK"/>
        </w:rPr>
      </w:pPr>
      <w:r w:rsidRPr="00444F0F">
        <w:rPr>
          <w:b w:val="0"/>
          <w:i/>
          <w:lang w:val="da-DK" w:bidi="da-DK"/>
        </w:rPr>
        <w:t>Langsigtet incitamentsprogram</w:t>
      </w:r>
    </w:p>
    <w:p w14:paraId="5EFCD91E" w14:textId="5EF57764" w:rsidR="002C143E" w:rsidRPr="003B0E1F" w:rsidRDefault="00A4472F" w:rsidP="00962F6C">
      <w:pPr>
        <w:pStyle w:val="Heading3"/>
        <w:ind w:left="822"/>
        <w:jc w:val="both"/>
        <w:rPr>
          <w:b w:val="0"/>
          <w:lang w:val="da-DK"/>
        </w:rPr>
      </w:pPr>
      <w:r w:rsidRPr="00444F0F">
        <w:rPr>
          <w:b w:val="0"/>
          <w:lang w:val="da-DK" w:bidi="da-DK"/>
        </w:rPr>
        <w:t xml:space="preserve">Der tilbydes langsigtede incitamenter i form at et performance share-program. Formålet med dette program er at sikre værdiskabelse for aktionærer ved at tilpasse værdien af de langsigtede incitamenter til koncerndirektionens </w:t>
      </w:r>
      <w:r w:rsidR="00247EDF">
        <w:rPr>
          <w:b w:val="0"/>
          <w:lang w:val="da-DK" w:bidi="da-DK"/>
        </w:rPr>
        <w:t>resultatopnåelse</w:t>
      </w:r>
      <w:r w:rsidRPr="00444F0F">
        <w:rPr>
          <w:b w:val="0"/>
          <w:lang w:val="da-DK" w:bidi="da-DK"/>
        </w:rPr>
        <w:t xml:space="preserve"> og opnåelse af Selskabets langsigtede mål. </w:t>
      </w:r>
    </w:p>
    <w:p w14:paraId="25224F4F" w14:textId="77777777" w:rsidR="002C143E" w:rsidRPr="003B0E1F" w:rsidRDefault="002C143E" w:rsidP="00962F6C">
      <w:pPr>
        <w:pStyle w:val="Heading3"/>
        <w:ind w:left="822"/>
        <w:jc w:val="both"/>
        <w:rPr>
          <w:b w:val="0"/>
          <w:lang w:val="da-DK"/>
        </w:rPr>
      </w:pPr>
    </w:p>
    <w:p w14:paraId="30494365" w14:textId="7CCB08C6" w:rsidR="00C12F71" w:rsidRPr="003B0E1F" w:rsidRDefault="00CA148A" w:rsidP="00962F6C">
      <w:pPr>
        <w:pStyle w:val="Heading3"/>
        <w:ind w:left="822"/>
        <w:jc w:val="both"/>
        <w:rPr>
          <w:b w:val="0"/>
          <w:lang w:val="da-DK"/>
        </w:rPr>
      </w:pPr>
      <w:r w:rsidRPr="00444F0F">
        <w:rPr>
          <w:b w:val="0"/>
          <w:lang w:val="da-DK" w:bidi="da-DK"/>
        </w:rPr>
        <w:t xml:space="preserve">Efter godkendelse fra bestyrelsen kan der tildeles performance share units én gang årligt, som regel efter fremlæggelse af Selskabets årsrapport. For hvert år kan der tildeles performance share units op til en maksimumværdi svarende til 100% af den årlige grundløn for det pågældende år. Det enkelte mål og de maksimale niveauer for </w:t>
      </w:r>
      <w:r w:rsidRPr="00444F0F">
        <w:rPr>
          <w:b w:val="0"/>
          <w:lang w:val="da-DK" w:bidi="da-DK"/>
        </w:rPr>
        <w:lastRenderedPageBreak/>
        <w:t>performance share-programmet for koncerndirektionen er fastsat som en del af den løbende aflønningsjustering (se ovenfor).</w:t>
      </w:r>
    </w:p>
    <w:p w14:paraId="05AB4E4A" w14:textId="77777777" w:rsidR="00C12F71" w:rsidRPr="003B0E1F" w:rsidRDefault="00C12F71" w:rsidP="00962F6C">
      <w:pPr>
        <w:pStyle w:val="Heading3"/>
        <w:ind w:left="822"/>
        <w:jc w:val="both"/>
        <w:rPr>
          <w:b w:val="0"/>
          <w:lang w:val="da-DK"/>
        </w:rPr>
      </w:pPr>
    </w:p>
    <w:p w14:paraId="17E72322" w14:textId="57F8157A" w:rsidR="00754288" w:rsidRPr="003B0E1F" w:rsidRDefault="00754288" w:rsidP="00962F6C">
      <w:pPr>
        <w:pStyle w:val="Heading3"/>
        <w:ind w:left="822"/>
        <w:jc w:val="both"/>
        <w:rPr>
          <w:b w:val="0"/>
          <w:lang w:val="da-DK"/>
        </w:rPr>
      </w:pPr>
      <w:r w:rsidRPr="00444F0F">
        <w:rPr>
          <w:b w:val="0"/>
          <w:lang w:val="da-DK" w:bidi="da-DK"/>
        </w:rPr>
        <w:t xml:space="preserve">Optjeningen af performance share units afhænger af (i) tid (mindst tre (3) års optjeningsperiode), (ii) fortsat ansættelse og (iii) finansiel </w:t>
      </w:r>
      <w:r w:rsidR="00247EDF">
        <w:rPr>
          <w:b w:val="0"/>
          <w:lang w:val="da-DK" w:bidi="da-DK"/>
        </w:rPr>
        <w:t>resultatopnåelse</w:t>
      </w:r>
      <w:r w:rsidRPr="00444F0F">
        <w:rPr>
          <w:b w:val="0"/>
          <w:lang w:val="da-DK" w:bidi="da-DK"/>
        </w:rPr>
        <w:t xml:space="preserve">, dvs. opnåelse af mindst en eller flere af de annoncerede langsigtede finansielle KPI'er for Selskabet. </w:t>
      </w:r>
    </w:p>
    <w:p w14:paraId="193B9650" w14:textId="77777777" w:rsidR="00754288" w:rsidRPr="003B0E1F" w:rsidRDefault="00754288" w:rsidP="00962F6C">
      <w:pPr>
        <w:pStyle w:val="Heading3"/>
        <w:ind w:left="822"/>
        <w:jc w:val="both"/>
        <w:rPr>
          <w:b w:val="0"/>
          <w:lang w:val="da-DK"/>
        </w:rPr>
      </w:pPr>
    </w:p>
    <w:p w14:paraId="1E022F11" w14:textId="7D7D528E" w:rsidR="00C12F71" w:rsidRPr="003B0E1F" w:rsidRDefault="008C4775" w:rsidP="00506381">
      <w:pPr>
        <w:pStyle w:val="Heading3"/>
        <w:ind w:left="822"/>
        <w:jc w:val="both"/>
        <w:rPr>
          <w:lang w:val="da-DK"/>
        </w:rPr>
      </w:pPr>
      <w:r w:rsidRPr="00444F0F">
        <w:rPr>
          <w:b w:val="0"/>
          <w:lang w:val="da-DK" w:bidi="da-DK"/>
        </w:rPr>
        <w:t xml:space="preserve">Programmets langsigtede finansielle KPI'er fastsættes af bestyrelsen. Der kan anvendes en eller flere yderligere finansielle KPI'er for at understøtte opnåelsen af de annoncerede langsigtede finansielle KPI'er for Selskabet. En 100 % opnåelse af programmets KPI'er skal medføre optjening af performance shares på det målsatte niveau. Fuld optjening af performance shares kræver en </w:t>
      </w:r>
      <w:r w:rsidR="00513513">
        <w:rPr>
          <w:b w:val="0"/>
          <w:lang w:val="da-DK" w:bidi="da-DK"/>
        </w:rPr>
        <w:t>resultatopnåelse</w:t>
      </w:r>
      <w:r w:rsidRPr="00444F0F">
        <w:rPr>
          <w:b w:val="0"/>
          <w:lang w:val="da-DK" w:bidi="da-DK"/>
        </w:rPr>
        <w:t>, der ligger væsentligt over d</w:t>
      </w:r>
      <w:r w:rsidR="00513513">
        <w:rPr>
          <w:b w:val="0"/>
          <w:lang w:val="da-DK" w:bidi="da-DK"/>
        </w:rPr>
        <w:t>e fastsatte mål</w:t>
      </w:r>
      <w:r w:rsidRPr="00444F0F">
        <w:rPr>
          <w:b w:val="0"/>
          <w:lang w:val="da-DK" w:bidi="da-DK"/>
        </w:rPr>
        <w:t>. Der skal opnås et minimumsniveau af finansie</w:t>
      </w:r>
      <w:r w:rsidR="00513513">
        <w:rPr>
          <w:b w:val="0"/>
          <w:lang w:val="da-DK" w:bidi="da-DK"/>
        </w:rPr>
        <w:t>l</w:t>
      </w:r>
      <w:r w:rsidRPr="00444F0F">
        <w:rPr>
          <w:b w:val="0"/>
          <w:lang w:val="da-DK" w:bidi="da-DK"/>
        </w:rPr>
        <w:t>l</w:t>
      </w:r>
      <w:r w:rsidR="00513513">
        <w:rPr>
          <w:b w:val="0"/>
          <w:lang w:val="da-DK" w:bidi="da-DK"/>
        </w:rPr>
        <w:t>e</w:t>
      </w:r>
      <w:r w:rsidRPr="00444F0F">
        <w:rPr>
          <w:b w:val="0"/>
          <w:lang w:val="da-DK" w:bidi="da-DK"/>
        </w:rPr>
        <w:t xml:space="preserve"> </w:t>
      </w:r>
      <w:r w:rsidR="00513513">
        <w:rPr>
          <w:b w:val="0"/>
          <w:lang w:val="da-DK" w:bidi="da-DK"/>
        </w:rPr>
        <w:t>resultater</w:t>
      </w:r>
      <w:r w:rsidRPr="00444F0F">
        <w:rPr>
          <w:b w:val="0"/>
          <w:lang w:val="da-DK" w:bidi="da-DK"/>
        </w:rPr>
        <w:t xml:space="preserve"> for i det hele taget at optjene performance share units. </w:t>
      </w:r>
    </w:p>
    <w:p w14:paraId="54D454E6" w14:textId="77777777" w:rsidR="002C143E" w:rsidRPr="003B0E1F" w:rsidRDefault="002C143E" w:rsidP="00962F6C">
      <w:pPr>
        <w:ind w:left="822"/>
        <w:jc w:val="both"/>
        <w:rPr>
          <w:lang w:val="da-DK"/>
        </w:rPr>
      </w:pPr>
    </w:p>
    <w:p w14:paraId="70C9DE75" w14:textId="168675BE" w:rsidR="00A850B0" w:rsidRPr="003B0E1F" w:rsidRDefault="00A850B0" w:rsidP="00962F6C">
      <w:pPr>
        <w:pStyle w:val="Heading3"/>
        <w:ind w:left="822"/>
        <w:jc w:val="both"/>
        <w:rPr>
          <w:b w:val="0"/>
          <w:lang w:val="da-DK"/>
        </w:rPr>
      </w:pPr>
      <w:r>
        <w:rPr>
          <w:b w:val="0"/>
          <w:lang w:val="da-DK" w:bidi="da-DK"/>
        </w:rPr>
        <w:t xml:space="preserve">Optjening af performance share units sker i form af </w:t>
      </w:r>
      <w:r w:rsidR="00A17F51">
        <w:rPr>
          <w:b w:val="0"/>
          <w:lang w:val="da-DK" w:bidi="da-DK"/>
        </w:rPr>
        <w:t>’</w:t>
      </w:r>
      <w:r>
        <w:rPr>
          <w:b w:val="0"/>
          <w:lang w:val="da-DK" w:bidi="da-DK"/>
        </w:rPr>
        <w:t>cliff vesting</w:t>
      </w:r>
      <w:r w:rsidR="00A17F51">
        <w:rPr>
          <w:b w:val="0"/>
          <w:lang w:val="da-DK" w:bidi="da-DK"/>
        </w:rPr>
        <w:t>’</w:t>
      </w:r>
      <w:r>
        <w:rPr>
          <w:b w:val="0"/>
          <w:lang w:val="da-DK" w:bidi="da-DK"/>
        </w:rPr>
        <w:t xml:space="preserve"> ved udløbet af optjeningsperioden. Efter optjening leveres de tilsvarende FLSmidth-aktier til koncerndirektionen uden nogen betaling for dette. Alle aktionærrettigheder og -forpligtelser forbliver hos Selskabet, indtil aktierne er leveret. </w:t>
      </w:r>
    </w:p>
    <w:p w14:paraId="0B6825B8" w14:textId="77777777" w:rsidR="00A850B0" w:rsidRPr="003B0E1F" w:rsidRDefault="00A850B0" w:rsidP="00962F6C">
      <w:pPr>
        <w:pStyle w:val="Heading3"/>
        <w:ind w:left="822"/>
        <w:jc w:val="both"/>
        <w:rPr>
          <w:b w:val="0"/>
          <w:lang w:val="da-DK"/>
        </w:rPr>
      </w:pPr>
    </w:p>
    <w:p w14:paraId="357BB705" w14:textId="0EF59764" w:rsidR="000277B5" w:rsidRPr="003B0E1F" w:rsidRDefault="000277B5" w:rsidP="00962F6C">
      <w:pPr>
        <w:pStyle w:val="Heading3"/>
        <w:ind w:left="822"/>
        <w:jc w:val="both"/>
        <w:rPr>
          <w:b w:val="0"/>
          <w:lang w:val="da-DK"/>
        </w:rPr>
      </w:pPr>
      <w:r w:rsidRPr="00444F0F">
        <w:rPr>
          <w:b w:val="0"/>
          <w:lang w:val="da-DK" w:bidi="da-DK"/>
        </w:rPr>
        <w:t xml:space="preserve">Bestyrelsen har den overordnede bemyndigelse til at beslutte den endelige udformning af det årlige langsigtede incitamentsprogram for koncerndirektionen. Hvis det skønnes nødvendigt for at opfylde forpligtelserne og formålene i pkt. 2.1 ovenfor, kan bestyrelsen beslutte at afvige fra udformningen af det langsigtede incitamentsprogram som beskrevet ovenfor. </w:t>
      </w:r>
    </w:p>
    <w:p w14:paraId="662916FA" w14:textId="77777777" w:rsidR="000277B5" w:rsidRPr="003B0E1F" w:rsidRDefault="000277B5" w:rsidP="00962F6C">
      <w:pPr>
        <w:jc w:val="both"/>
        <w:rPr>
          <w:lang w:val="da-DK"/>
        </w:rPr>
      </w:pPr>
    </w:p>
    <w:p w14:paraId="51635EB1" w14:textId="0A55BE7C" w:rsidR="000277B5" w:rsidRPr="003B0E1F" w:rsidRDefault="000277B5" w:rsidP="00962F6C">
      <w:pPr>
        <w:pStyle w:val="Heading3"/>
        <w:ind w:left="822"/>
        <w:jc w:val="both"/>
        <w:rPr>
          <w:b w:val="0"/>
          <w:lang w:val="da-DK"/>
        </w:rPr>
      </w:pPr>
      <w:r w:rsidRPr="00444F0F">
        <w:rPr>
          <w:b w:val="0"/>
          <w:lang w:val="da-DK" w:bidi="da-DK"/>
        </w:rPr>
        <w:t xml:space="preserve">I den årlige aflønningsrapport vil bestyrelsen </w:t>
      </w:r>
      <w:r w:rsidR="00513513">
        <w:rPr>
          <w:b w:val="0"/>
          <w:lang w:val="da-DK" w:bidi="da-DK"/>
        </w:rPr>
        <w:t>frem</w:t>
      </w:r>
      <w:r w:rsidRPr="00444F0F">
        <w:rPr>
          <w:b w:val="0"/>
          <w:lang w:val="da-DK" w:bidi="da-DK"/>
        </w:rPr>
        <w:t xml:space="preserve">vise en retrospektiv oversigt over det langsigtede incitamentsprogram for koncerndirektionen bestående af de målsatte og maksimale langsigtede incitamentsniveauer og så vidt muligt også de overordnede opfyldelsesniveauer. </w:t>
      </w:r>
    </w:p>
    <w:p w14:paraId="6C349F63" w14:textId="77777777" w:rsidR="00A4472F" w:rsidRPr="003B0E1F" w:rsidRDefault="00A4472F" w:rsidP="00962F6C">
      <w:pPr>
        <w:jc w:val="both"/>
        <w:rPr>
          <w:lang w:val="da-DK"/>
        </w:rPr>
      </w:pPr>
    </w:p>
    <w:p w14:paraId="39D3992B" w14:textId="6BF522C5" w:rsidR="00A4472F" w:rsidRPr="003B0E1F" w:rsidRDefault="00340EDF" w:rsidP="00962F6C">
      <w:pPr>
        <w:ind w:left="822"/>
        <w:jc w:val="both"/>
        <w:rPr>
          <w:lang w:val="da-DK"/>
        </w:rPr>
      </w:pPr>
      <w:r>
        <w:rPr>
          <w:lang w:val="da-DK" w:bidi="da-DK"/>
        </w:rPr>
        <w:t xml:space="preserve">Koncerndirektøren er forpligtet til at besidde et vist antal optjente aktier fra det langsigtede incitamentsprogram, indtil der er opnået en målsat portefølje af selskabsaktier. Den målsatte portefølje af aktiver skal svare til 50 % af den årlige grundløn. Koncerndirektøren forventes at opbygge sin portefølje i løbet af højst fem (5) år. Dette aktiebeholdningskrav er indført i forbindelse med denne </w:t>
      </w:r>
      <w:r w:rsidR="00E50D49">
        <w:rPr>
          <w:lang w:val="da-DK" w:bidi="da-DK"/>
        </w:rPr>
        <w:t>vederlagspolitik</w:t>
      </w:r>
      <w:r>
        <w:rPr>
          <w:lang w:val="da-DK" w:bidi="da-DK"/>
        </w:rPr>
        <w:t xml:space="preserve">, og det forventes, at den målsatte aktieportefølje skal bygges op i løbet af højst fem år fra vedtagelse af denne politik. </w:t>
      </w:r>
    </w:p>
    <w:p w14:paraId="05A7D85F" w14:textId="77777777" w:rsidR="00C12F71" w:rsidRPr="003B0E1F" w:rsidRDefault="00C12F71" w:rsidP="00962F6C">
      <w:pPr>
        <w:pStyle w:val="Heading3"/>
        <w:ind w:left="822"/>
        <w:jc w:val="both"/>
        <w:rPr>
          <w:b w:val="0"/>
          <w:lang w:val="da-DK"/>
        </w:rPr>
      </w:pPr>
    </w:p>
    <w:p w14:paraId="13246E82" w14:textId="77777777" w:rsidR="00160560" w:rsidRPr="003B0E1F" w:rsidRDefault="00160560" w:rsidP="00962F6C">
      <w:pPr>
        <w:pStyle w:val="Heading1"/>
        <w:spacing w:line="240" w:lineRule="atLeast"/>
        <w:ind w:left="822"/>
        <w:jc w:val="both"/>
        <w:rPr>
          <w:b w:val="0"/>
          <w:i/>
          <w:lang w:val="da-DK"/>
        </w:rPr>
      </w:pPr>
      <w:bookmarkStart w:id="8" w:name="_Ref410057787"/>
      <w:r w:rsidRPr="00444F0F">
        <w:rPr>
          <w:b w:val="0"/>
          <w:i/>
          <w:lang w:val="da-DK" w:bidi="da-DK"/>
        </w:rPr>
        <w:t xml:space="preserve">Goder </w:t>
      </w:r>
    </w:p>
    <w:p w14:paraId="77B03B54" w14:textId="48024C48" w:rsidR="00160560" w:rsidRPr="003B1B60" w:rsidRDefault="00372399" w:rsidP="00962F6C">
      <w:pPr>
        <w:autoSpaceDE w:val="0"/>
        <w:autoSpaceDN w:val="0"/>
        <w:adjustRightInd w:val="0"/>
        <w:spacing w:line="240" w:lineRule="auto"/>
        <w:ind w:left="822"/>
        <w:jc w:val="both"/>
        <w:rPr>
          <w:lang w:val="da-DK" w:bidi="da-DK"/>
        </w:rPr>
      </w:pPr>
      <w:r w:rsidRPr="003B1B60">
        <w:rPr>
          <w:lang w:val="da-DK" w:bidi="da-DK"/>
        </w:rPr>
        <w:t xml:space="preserve">Efter godkendelse fra bestyrelsen er koncerndirektionen berettiget til de sædvanlige fordele som f.eks. firmabil, faglig og personlig udvikling, nyhedsabonnement, telefon, internet etc. </w:t>
      </w:r>
    </w:p>
    <w:p w14:paraId="3EE0F802" w14:textId="77777777" w:rsidR="00AA4816" w:rsidRPr="003B1B60" w:rsidRDefault="00AA4816" w:rsidP="00962F6C">
      <w:pPr>
        <w:autoSpaceDE w:val="0"/>
        <w:autoSpaceDN w:val="0"/>
        <w:adjustRightInd w:val="0"/>
        <w:spacing w:line="240" w:lineRule="auto"/>
        <w:ind w:left="822"/>
        <w:jc w:val="both"/>
        <w:rPr>
          <w:lang w:val="da-DK" w:bidi="da-DK"/>
        </w:rPr>
      </w:pPr>
    </w:p>
    <w:p w14:paraId="57972D2E" w14:textId="1B355461" w:rsidR="00AA4816" w:rsidRPr="003B1B60" w:rsidRDefault="002F2F8E" w:rsidP="00962F6C">
      <w:pPr>
        <w:autoSpaceDE w:val="0"/>
        <w:autoSpaceDN w:val="0"/>
        <w:adjustRightInd w:val="0"/>
        <w:spacing w:line="240" w:lineRule="auto"/>
        <w:ind w:left="822"/>
        <w:jc w:val="both"/>
        <w:rPr>
          <w:lang w:val="da-DK" w:bidi="da-DK"/>
        </w:rPr>
      </w:pPr>
      <w:r w:rsidRPr="003B1B60">
        <w:rPr>
          <w:lang w:val="da-DK" w:bidi="da-DK"/>
        </w:rPr>
        <w:t xml:space="preserve">Hvis en ledende medarbejder flytter til et andet land for at besætte en stilling i koncerndirektionen, kan der være nødvendige mobilitetsrelaterede goder som f.eks. boligtilskud, tilskud til skolegebyrer og lignende efter bestyrelsens skøn. </w:t>
      </w:r>
    </w:p>
    <w:p w14:paraId="5DAD305A" w14:textId="77777777" w:rsidR="000D64F3" w:rsidRPr="003B1B60" w:rsidRDefault="000D64F3" w:rsidP="00962F6C">
      <w:pPr>
        <w:autoSpaceDE w:val="0"/>
        <w:autoSpaceDN w:val="0"/>
        <w:adjustRightInd w:val="0"/>
        <w:spacing w:line="240" w:lineRule="auto"/>
        <w:ind w:left="822"/>
        <w:jc w:val="both"/>
        <w:rPr>
          <w:lang w:val="da-DK" w:bidi="da-DK"/>
        </w:rPr>
      </w:pPr>
    </w:p>
    <w:p w14:paraId="5824C316" w14:textId="26466CC6" w:rsidR="000D64F3" w:rsidRPr="003B1B60" w:rsidRDefault="000D64F3" w:rsidP="00962F6C">
      <w:pPr>
        <w:autoSpaceDE w:val="0"/>
        <w:autoSpaceDN w:val="0"/>
        <w:adjustRightInd w:val="0"/>
        <w:spacing w:line="240" w:lineRule="auto"/>
        <w:ind w:left="822"/>
        <w:jc w:val="both"/>
        <w:rPr>
          <w:lang w:val="da-DK" w:bidi="da-DK"/>
        </w:rPr>
      </w:pPr>
      <w:r w:rsidRPr="003B1B60">
        <w:rPr>
          <w:lang w:val="da-DK" w:bidi="da-DK"/>
        </w:rPr>
        <w:t xml:space="preserve">Koncernledelsen tilbydes at deltage i FLSmidths generelle pensions- og forsikringsordning. Præmier og bidrag betales fuldt ud af den ledende medarbejder.  </w:t>
      </w:r>
    </w:p>
    <w:p w14:paraId="155D0D65" w14:textId="77777777" w:rsidR="00160560" w:rsidRPr="003B1B60" w:rsidRDefault="00160560" w:rsidP="00962F6C">
      <w:pPr>
        <w:pStyle w:val="Heading1"/>
        <w:spacing w:line="240" w:lineRule="atLeast"/>
        <w:ind w:left="822"/>
        <w:jc w:val="both"/>
        <w:rPr>
          <w:rFonts w:cs="Times New Roman"/>
          <w:b w:val="0"/>
          <w:bCs w:val="0"/>
          <w:kern w:val="0"/>
          <w:szCs w:val="24"/>
          <w:lang w:val="da-DK" w:bidi="da-DK"/>
        </w:rPr>
      </w:pPr>
    </w:p>
    <w:p w14:paraId="2DD78C79" w14:textId="77777777" w:rsidR="00C12F71" w:rsidRPr="003B0E1F" w:rsidRDefault="004D3644" w:rsidP="00962F6C">
      <w:pPr>
        <w:pStyle w:val="Heading1"/>
        <w:spacing w:line="240" w:lineRule="atLeast"/>
        <w:ind w:left="822"/>
        <w:jc w:val="both"/>
        <w:rPr>
          <w:b w:val="0"/>
          <w:i/>
          <w:lang w:val="da-DK"/>
        </w:rPr>
      </w:pPr>
      <w:r w:rsidRPr="00444F0F">
        <w:rPr>
          <w:b w:val="0"/>
          <w:i/>
          <w:lang w:val="da-DK" w:bidi="da-DK"/>
        </w:rPr>
        <w:t>Andre incitamenter</w:t>
      </w:r>
      <w:bookmarkEnd w:id="8"/>
      <w:r w:rsidRPr="00444F0F">
        <w:rPr>
          <w:b w:val="0"/>
          <w:i/>
          <w:lang w:val="da-DK" w:bidi="da-DK"/>
        </w:rPr>
        <w:t xml:space="preserve"> </w:t>
      </w:r>
    </w:p>
    <w:p w14:paraId="4134BAF3" w14:textId="04D40324" w:rsidR="00C12F71" w:rsidRDefault="00B76DD4" w:rsidP="003B1B60">
      <w:pPr>
        <w:autoSpaceDE w:val="0"/>
        <w:autoSpaceDN w:val="0"/>
        <w:adjustRightInd w:val="0"/>
        <w:spacing w:line="240" w:lineRule="auto"/>
        <w:ind w:left="822"/>
        <w:jc w:val="both"/>
        <w:rPr>
          <w:lang w:val="da-DK" w:bidi="da-DK"/>
        </w:rPr>
      </w:pPr>
      <w:r w:rsidRPr="003B1B60">
        <w:rPr>
          <w:lang w:val="da-DK" w:bidi="da-DK"/>
        </w:rPr>
        <w:t xml:space="preserve">Efter bestyrelsens skøn kan der tilbydes supplerende bonusordninger eller anden incitamentsbaseret aflønning til særlige formål som f.eks. fastholdelsesordninger, change-of-control-scenarier, </w:t>
      </w:r>
      <w:r w:rsidR="00513513">
        <w:rPr>
          <w:lang w:val="da-DK" w:bidi="da-DK"/>
        </w:rPr>
        <w:t>tiltrædelses</w:t>
      </w:r>
      <w:r w:rsidRPr="003B1B60">
        <w:rPr>
          <w:lang w:val="da-DK" w:bidi="da-DK"/>
        </w:rPr>
        <w:t>-ordninger eller lignende, hvis det skønnes nødvendigt for at opfylde de overordnede formål anført i pkt. 2.1 eller for at beskytte Selskabets interesser.</w:t>
      </w:r>
    </w:p>
    <w:p w14:paraId="78B9E8B0" w14:textId="77777777" w:rsidR="00513513" w:rsidRPr="003B1B60" w:rsidRDefault="00513513" w:rsidP="003B1B60">
      <w:pPr>
        <w:autoSpaceDE w:val="0"/>
        <w:autoSpaceDN w:val="0"/>
        <w:adjustRightInd w:val="0"/>
        <w:spacing w:line="240" w:lineRule="auto"/>
        <w:ind w:left="822"/>
        <w:jc w:val="both"/>
        <w:rPr>
          <w:lang w:val="da-DK" w:bidi="da-DK"/>
        </w:rPr>
      </w:pPr>
    </w:p>
    <w:p w14:paraId="1EF4D093" w14:textId="2F763ACD" w:rsidR="00C12F71" w:rsidRDefault="003A7A34" w:rsidP="003B1B60">
      <w:pPr>
        <w:autoSpaceDE w:val="0"/>
        <w:autoSpaceDN w:val="0"/>
        <w:adjustRightInd w:val="0"/>
        <w:spacing w:line="240" w:lineRule="auto"/>
        <w:ind w:left="822"/>
        <w:jc w:val="both"/>
        <w:rPr>
          <w:lang w:val="da-DK" w:bidi="da-DK"/>
        </w:rPr>
      </w:pPr>
      <w:r w:rsidRPr="003B1B60">
        <w:rPr>
          <w:lang w:val="da-DK" w:bidi="da-DK"/>
        </w:rPr>
        <w:t>I et vilkårligt år må værdien af sådanne supplerende bonusordninger eller incitamentsbaseret aflønning ikke overstige et beløb svarende til 150 % af den årlige grundløn.</w:t>
      </w:r>
    </w:p>
    <w:p w14:paraId="65BA909B" w14:textId="77777777" w:rsidR="00513513" w:rsidRPr="003B1B60" w:rsidRDefault="00513513" w:rsidP="003B1B60">
      <w:pPr>
        <w:autoSpaceDE w:val="0"/>
        <w:autoSpaceDN w:val="0"/>
        <w:adjustRightInd w:val="0"/>
        <w:spacing w:line="240" w:lineRule="auto"/>
        <w:ind w:left="822"/>
        <w:jc w:val="both"/>
        <w:rPr>
          <w:lang w:val="da-DK" w:bidi="da-DK"/>
        </w:rPr>
      </w:pPr>
    </w:p>
    <w:p w14:paraId="30F25824" w14:textId="72545AE2" w:rsidR="00C12F71" w:rsidRDefault="009475D1" w:rsidP="003B1B60">
      <w:pPr>
        <w:autoSpaceDE w:val="0"/>
        <w:autoSpaceDN w:val="0"/>
        <w:adjustRightInd w:val="0"/>
        <w:spacing w:line="240" w:lineRule="auto"/>
        <w:ind w:left="822"/>
        <w:jc w:val="both"/>
        <w:rPr>
          <w:lang w:val="da-DK" w:bidi="da-DK"/>
        </w:rPr>
      </w:pPr>
      <w:r w:rsidRPr="003B1B60">
        <w:rPr>
          <w:lang w:val="da-DK" w:bidi="da-DK"/>
        </w:rPr>
        <w:t>Disse incitamenter kan bestå af kontant og/eller aktiebaseret aflønning, og betingelserne for sådanne tilskud som f.eks. om tilskuddet og/eller optjeningen skal være betinget af opfyldelse af KPI'er, bestemmes af bestyrelsen.</w:t>
      </w:r>
    </w:p>
    <w:p w14:paraId="292F8E35" w14:textId="77777777" w:rsidR="003B1B60" w:rsidRPr="003B1B60" w:rsidRDefault="003B1B60" w:rsidP="003B1B60">
      <w:pPr>
        <w:autoSpaceDE w:val="0"/>
        <w:autoSpaceDN w:val="0"/>
        <w:adjustRightInd w:val="0"/>
        <w:spacing w:line="240" w:lineRule="auto"/>
        <w:ind w:left="822"/>
        <w:jc w:val="both"/>
        <w:rPr>
          <w:lang w:val="da-DK" w:bidi="da-DK"/>
        </w:rPr>
      </w:pPr>
    </w:p>
    <w:p w14:paraId="5C2C3485" w14:textId="77777777" w:rsidR="0076776B" w:rsidRPr="003B0E1F" w:rsidRDefault="0076776B" w:rsidP="00962F6C">
      <w:pPr>
        <w:pStyle w:val="Heading3"/>
        <w:ind w:left="822"/>
        <w:jc w:val="both"/>
        <w:rPr>
          <w:b w:val="0"/>
          <w:i/>
          <w:lang w:val="da-DK"/>
        </w:rPr>
      </w:pPr>
      <w:r w:rsidRPr="00444F0F">
        <w:rPr>
          <w:b w:val="0"/>
          <w:i/>
          <w:lang w:val="da-DK" w:bidi="da-DK"/>
        </w:rPr>
        <w:t>Udgifter</w:t>
      </w:r>
    </w:p>
    <w:p w14:paraId="26E7AB2F" w14:textId="0EC1CDCF" w:rsidR="0076776B" w:rsidRPr="003B0E1F" w:rsidRDefault="00B76DD4" w:rsidP="00962F6C">
      <w:pPr>
        <w:pStyle w:val="Heading3"/>
        <w:ind w:left="822"/>
        <w:jc w:val="both"/>
        <w:rPr>
          <w:lang w:val="da-DK"/>
        </w:rPr>
      </w:pPr>
      <w:r>
        <w:rPr>
          <w:b w:val="0"/>
          <w:lang w:val="da-DK" w:bidi="da-DK"/>
        </w:rPr>
        <w:t xml:space="preserve">I henhold til FLSmidths standardprocedurer for rejser, hoteller, måltider og lignende betaler Selskabet de nødvendige udgifter for koncernledelsen enten ved Selskabets direkte betaling af disse udgifter eller ved efterfølgende udgiftsgodtgørelse. </w:t>
      </w:r>
    </w:p>
    <w:p w14:paraId="209EEDE3" w14:textId="77777777" w:rsidR="00E97408" w:rsidRPr="003B0E1F" w:rsidRDefault="00E97408" w:rsidP="00962F6C">
      <w:pPr>
        <w:pStyle w:val="Heading3"/>
        <w:ind w:left="822"/>
        <w:jc w:val="both"/>
        <w:rPr>
          <w:b w:val="0"/>
          <w:lang w:val="da-DK"/>
        </w:rPr>
      </w:pPr>
    </w:p>
    <w:p w14:paraId="0C18DFB4" w14:textId="77777777" w:rsidR="00E15BD6" w:rsidRPr="003B0E1F" w:rsidRDefault="00E97408" w:rsidP="00962F6C">
      <w:pPr>
        <w:pStyle w:val="Heading3"/>
        <w:ind w:left="822"/>
        <w:jc w:val="both"/>
        <w:rPr>
          <w:b w:val="0"/>
          <w:i/>
          <w:lang w:val="da-DK"/>
        </w:rPr>
      </w:pPr>
      <w:r w:rsidRPr="00444F0F">
        <w:rPr>
          <w:b w:val="0"/>
          <w:i/>
          <w:lang w:val="da-DK" w:bidi="da-DK"/>
        </w:rPr>
        <w:t>Clawback</w:t>
      </w:r>
    </w:p>
    <w:p w14:paraId="314AC5BF" w14:textId="3A2850B3" w:rsidR="00E97408" w:rsidRDefault="00E97408" w:rsidP="003B1B60">
      <w:pPr>
        <w:pStyle w:val="Heading3"/>
        <w:ind w:left="822"/>
        <w:jc w:val="both"/>
        <w:rPr>
          <w:b w:val="0"/>
          <w:lang w:val="da-DK" w:bidi="da-DK"/>
        </w:rPr>
      </w:pPr>
      <w:r w:rsidRPr="003B1B60">
        <w:rPr>
          <w:b w:val="0"/>
          <w:lang w:val="da-DK" w:bidi="da-DK"/>
        </w:rPr>
        <w:t xml:space="preserve">I særlige tilfælde kan der finde clawback sted for den variable aflønning til koncerndirektionen, herunder hvis den variable aflønning er baseret på en eller flere faktorer, der viser sig at være forkerte.   </w:t>
      </w:r>
    </w:p>
    <w:p w14:paraId="37ACAF61" w14:textId="77777777" w:rsidR="003B1B60" w:rsidRPr="003B1B60" w:rsidRDefault="003B1B60" w:rsidP="003B1B60">
      <w:pPr>
        <w:rPr>
          <w:lang w:val="da-DK" w:bidi="da-DK"/>
        </w:rPr>
      </w:pPr>
    </w:p>
    <w:p w14:paraId="1C91038F" w14:textId="77777777" w:rsidR="00BF3264" w:rsidRPr="003B0E1F" w:rsidRDefault="00BF3264" w:rsidP="003B1B60">
      <w:pPr>
        <w:pStyle w:val="Heading3"/>
        <w:keepNext w:val="0"/>
        <w:ind w:left="821"/>
        <w:jc w:val="both"/>
        <w:rPr>
          <w:b w:val="0"/>
          <w:i/>
          <w:lang w:val="da-DK"/>
        </w:rPr>
      </w:pPr>
      <w:r w:rsidRPr="00B24B0B">
        <w:rPr>
          <w:b w:val="0"/>
          <w:i/>
          <w:lang w:val="da-DK" w:bidi="da-DK"/>
        </w:rPr>
        <w:t>Opsigelse og fratrædelsesgodtgørelse</w:t>
      </w:r>
    </w:p>
    <w:p w14:paraId="02425042" w14:textId="22E0C7BB" w:rsidR="009C16A9" w:rsidRPr="003B0E1F" w:rsidRDefault="000D64F3" w:rsidP="003B1B60">
      <w:pPr>
        <w:pStyle w:val="Heading3"/>
        <w:keepNext w:val="0"/>
        <w:widowControl w:val="0"/>
        <w:ind w:left="821"/>
        <w:jc w:val="both"/>
        <w:rPr>
          <w:b w:val="0"/>
          <w:lang w:val="da-DK"/>
        </w:rPr>
      </w:pPr>
      <w:r w:rsidRPr="00B24B0B">
        <w:rPr>
          <w:b w:val="0"/>
          <w:lang w:val="da-DK" w:bidi="da-DK"/>
        </w:rPr>
        <w:t xml:space="preserve">Direktørkontrakter med koncerndirektionen er ikke tidsbegrænsede. Det almindelige opsigelsesvarsel kan være på op til atten (18) måneder, og fratrædelsesgodtgørelsen kan højst svare til seks (6) måneders grundløn. </w:t>
      </w:r>
    </w:p>
    <w:p w14:paraId="450D9625" w14:textId="77777777" w:rsidR="009C16A9" w:rsidRPr="003B0E1F" w:rsidRDefault="009C16A9" w:rsidP="00B24B0B">
      <w:pPr>
        <w:pStyle w:val="Heading3"/>
        <w:ind w:left="822"/>
        <w:jc w:val="both"/>
        <w:rPr>
          <w:b w:val="0"/>
          <w:lang w:val="da-DK"/>
        </w:rPr>
      </w:pPr>
    </w:p>
    <w:p w14:paraId="3545DCB1" w14:textId="77777777" w:rsidR="009C16A9" w:rsidRPr="003B0E1F" w:rsidRDefault="006A07F3" w:rsidP="00B24B0B">
      <w:pPr>
        <w:pStyle w:val="Heading3"/>
        <w:ind w:left="822"/>
        <w:jc w:val="both"/>
        <w:rPr>
          <w:b w:val="0"/>
          <w:lang w:val="da-DK"/>
        </w:rPr>
      </w:pPr>
      <w:r w:rsidRPr="00B24B0B">
        <w:rPr>
          <w:b w:val="0"/>
          <w:lang w:val="da-DK" w:bidi="da-DK"/>
        </w:rPr>
        <w:t xml:space="preserve">Fra datoen for indgivelse af opsigelse har koncerndirektionen ikke ret til at modtage yderligere langsigtede incitamenter. Retten til at beholde allerede tildelte performance share units afhænger af good leaver/bad leaver-status som defineret i programmet. </w:t>
      </w:r>
    </w:p>
    <w:p w14:paraId="54303536" w14:textId="77777777" w:rsidR="00E97408" w:rsidRPr="003B0E1F" w:rsidRDefault="006A07F3" w:rsidP="00B24B0B">
      <w:pPr>
        <w:pStyle w:val="Heading3"/>
        <w:ind w:left="822"/>
        <w:jc w:val="both"/>
        <w:rPr>
          <w:b w:val="0"/>
          <w:lang w:val="da-DK"/>
        </w:rPr>
      </w:pPr>
      <w:r w:rsidRPr="00B24B0B">
        <w:rPr>
          <w:b w:val="0"/>
          <w:lang w:val="da-DK" w:bidi="da-DK"/>
        </w:rPr>
        <w:t xml:space="preserve">  </w:t>
      </w:r>
    </w:p>
    <w:p w14:paraId="58763A53" w14:textId="77777777" w:rsidR="00C12F71" w:rsidRPr="003B0E1F" w:rsidRDefault="00C12F71" w:rsidP="00962F6C">
      <w:pPr>
        <w:pStyle w:val="Heading3"/>
        <w:ind w:left="822"/>
        <w:jc w:val="both"/>
        <w:rPr>
          <w:highlight w:val="yellow"/>
          <w:lang w:val="da-DK"/>
        </w:rPr>
      </w:pPr>
    </w:p>
    <w:p w14:paraId="4AA85699" w14:textId="6516E56B" w:rsidR="00160FBE" w:rsidRDefault="00160FBE" w:rsidP="00962F6C">
      <w:pPr>
        <w:pStyle w:val="Heading1"/>
        <w:numPr>
          <w:ilvl w:val="0"/>
          <w:numId w:val="3"/>
        </w:numPr>
        <w:spacing w:line="240" w:lineRule="atLeast"/>
        <w:jc w:val="both"/>
      </w:pPr>
      <w:r>
        <w:rPr>
          <w:lang w:val="da-DK" w:bidi="da-DK"/>
        </w:rPr>
        <w:t>Afvigelser fra politikken</w:t>
      </w:r>
    </w:p>
    <w:p w14:paraId="3A6C1C07" w14:textId="77777777" w:rsidR="00E764A0" w:rsidRPr="00E764A0" w:rsidRDefault="00E764A0" w:rsidP="00E764A0"/>
    <w:p w14:paraId="370EFA42" w14:textId="77777777" w:rsidR="00160FBE" w:rsidRPr="003B1B60" w:rsidRDefault="000A3D29" w:rsidP="00160FBE">
      <w:pPr>
        <w:pStyle w:val="Niveau2"/>
        <w:numPr>
          <w:ilvl w:val="0"/>
          <w:numId w:val="0"/>
        </w:numPr>
        <w:ind w:left="822"/>
        <w:jc w:val="both"/>
        <w:rPr>
          <w:rFonts w:ascii="Verdana" w:hAnsi="Verdana"/>
          <w:iCs w:val="0"/>
          <w:kern w:val="32"/>
          <w:szCs w:val="32"/>
          <w:lang w:val="da-DK" w:bidi="da-DK"/>
        </w:rPr>
      </w:pPr>
      <w:r w:rsidRPr="003B1B60">
        <w:rPr>
          <w:rFonts w:ascii="Verdana" w:hAnsi="Verdana"/>
          <w:iCs w:val="0"/>
          <w:kern w:val="32"/>
          <w:szCs w:val="32"/>
          <w:lang w:val="da-DK" w:bidi="da-DK"/>
        </w:rPr>
        <w:t xml:space="preserve">Hvis det skønnes nødvendigt for at opfylde formålene i pkt. 2.1 ovenfor, eller hvis Selskabets situation nødvendiggør det, kan bestyrelsen i særlige tilfælde beslutte at afvige fra denne politik. En sådan afvigelse skal drøftes i aflønningskomitéen, som også afgiver en begrundet anbefaling til bestyrelsen. </w:t>
      </w:r>
    </w:p>
    <w:p w14:paraId="54A3852D" w14:textId="65CF3E43" w:rsidR="00160FBE" w:rsidRPr="003B1B60" w:rsidRDefault="00160FBE" w:rsidP="00160FBE">
      <w:pPr>
        <w:pStyle w:val="Niveau2"/>
        <w:numPr>
          <w:ilvl w:val="0"/>
          <w:numId w:val="0"/>
        </w:numPr>
        <w:ind w:left="822"/>
        <w:jc w:val="both"/>
        <w:rPr>
          <w:rFonts w:ascii="Verdana" w:hAnsi="Verdana"/>
          <w:iCs w:val="0"/>
          <w:kern w:val="32"/>
          <w:szCs w:val="32"/>
          <w:lang w:val="da-DK" w:bidi="da-DK"/>
        </w:rPr>
      </w:pPr>
      <w:r w:rsidRPr="003B1B60">
        <w:rPr>
          <w:rFonts w:ascii="Verdana" w:hAnsi="Verdana"/>
          <w:iCs w:val="0"/>
          <w:kern w:val="32"/>
          <w:szCs w:val="32"/>
          <w:lang w:val="da-DK" w:bidi="da-DK"/>
        </w:rPr>
        <w:t xml:space="preserve">En eventuel afvigelse fra denne politik vil blive beskrevet og forklaret i Selskabets årlige aflønningsrapport. </w:t>
      </w:r>
    </w:p>
    <w:p w14:paraId="2038E8F7" w14:textId="607C106F" w:rsidR="00C12F71" w:rsidRDefault="00C12F71" w:rsidP="00962F6C">
      <w:pPr>
        <w:pStyle w:val="Heading1"/>
        <w:numPr>
          <w:ilvl w:val="0"/>
          <w:numId w:val="3"/>
        </w:numPr>
        <w:spacing w:line="240" w:lineRule="atLeast"/>
        <w:jc w:val="both"/>
      </w:pPr>
      <w:r w:rsidRPr="00F3409C">
        <w:rPr>
          <w:lang w:val="da-DK" w:bidi="da-DK"/>
        </w:rPr>
        <w:t>Godkendelse og offentliggørelse</w:t>
      </w:r>
    </w:p>
    <w:p w14:paraId="128F4EA4" w14:textId="77777777" w:rsidR="00E764A0" w:rsidRPr="00E764A0" w:rsidRDefault="00E764A0" w:rsidP="00E764A0"/>
    <w:p w14:paraId="424E087F" w14:textId="258ACF55" w:rsidR="00C12F71" w:rsidRPr="003B0E1F" w:rsidRDefault="00B72C62" w:rsidP="00962F6C">
      <w:pPr>
        <w:pStyle w:val="Heading3"/>
        <w:ind w:left="822"/>
        <w:jc w:val="both"/>
        <w:rPr>
          <w:b w:val="0"/>
          <w:lang w:val="da-DK"/>
        </w:rPr>
      </w:pPr>
      <w:r w:rsidRPr="00F3409C">
        <w:rPr>
          <w:b w:val="0"/>
          <w:lang w:val="da-DK" w:bidi="da-DK"/>
        </w:rPr>
        <w:t xml:space="preserve">Denne </w:t>
      </w:r>
      <w:r w:rsidR="00E50D49">
        <w:rPr>
          <w:b w:val="0"/>
          <w:lang w:val="da-DK" w:bidi="da-DK"/>
        </w:rPr>
        <w:t>vederlagspolitik</w:t>
      </w:r>
      <w:r w:rsidRPr="00F3409C">
        <w:rPr>
          <w:b w:val="0"/>
          <w:lang w:val="da-DK" w:bidi="da-DK"/>
        </w:rPr>
        <w:t xml:space="preserve"> blev fremlagt til godkendelse på generalforsamlingen den </w:t>
      </w:r>
      <w:r w:rsidR="00740E1D">
        <w:rPr>
          <w:b w:val="0"/>
          <w:lang w:val="da-DK" w:bidi="da-DK"/>
        </w:rPr>
        <w:t>26. juni</w:t>
      </w:r>
      <w:r w:rsidRPr="00F3409C">
        <w:rPr>
          <w:b w:val="0"/>
          <w:lang w:val="da-DK" w:bidi="da-DK"/>
        </w:rPr>
        <w:t xml:space="preserve"> 2020.  </w:t>
      </w:r>
    </w:p>
    <w:p w14:paraId="46A8D5E4" w14:textId="77777777" w:rsidR="00C12F71" w:rsidRPr="003B0E1F" w:rsidRDefault="00C12F71" w:rsidP="00962F6C">
      <w:pPr>
        <w:pStyle w:val="Heading3"/>
        <w:ind w:left="822"/>
        <w:jc w:val="both"/>
        <w:rPr>
          <w:b w:val="0"/>
          <w:lang w:val="da-DK"/>
        </w:rPr>
      </w:pPr>
    </w:p>
    <w:p w14:paraId="562258EE" w14:textId="73C956FB" w:rsidR="00C12F71" w:rsidRPr="003B0E1F" w:rsidRDefault="00652336" w:rsidP="00962F6C">
      <w:pPr>
        <w:pStyle w:val="Heading3"/>
        <w:ind w:left="822"/>
        <w:jc w:val="both"/>
        <w:rPr>
          <w:b w:val="0"/>
          <w:highlight w:val="yellow"/>
          <w:lang w:val="da-DK"/>
        </w:rPr>
      </w:pPr>
      <w:r w:rsidRPr="00FC3803">
        <w:rPr>
          <w:b w:val="0"/>
          <w:lang w:val="da-DK" w:bidi="da-DK"/>
        </w:rPr>
        <w:t xml:space="preserve">Den seneste version af </w:t>
      </w:r>
      <w:r w:rsidR="00E50D49">
        <w:rPr>
          <w:b w:val="0"/>
          <w:lang w:val="da-DK" w:bidi="da-DK"/>
        </w:rPr>
        <w:t>vederlagspolitik</w:t>
      </w:r>
      <w:r w:rsidRPr="00FC3803">
        <w:rPr>
          <w:b w:val="0"/>
          <w:lang w:val="da-DK" w:bidi="da-DK"/>
        </w:rPr>
        <w:t xml:space="preserve">ken skal til enhver tid være tilgængelig på FLSmidths website, </w:t>
      </w:r>
      <w:hyperlink r:id="rId12" w:history="1">
        <w:r w:rsidRPr="00FC3803">
          <w:rPr>
            <w:rStyle w:val="Hyperlink"/>
            <w:b w:val="0"/>
            <w:lang w:val="da-DK" w:bidi="da-DK"/>
          </w:rPr>
          <w:t>www.flsmidth.com</w:t>
        </w:r>
      </w:hyperlink>
      <w:r w:rsidRPr="00FC3803">
        <w:rPr>
          <w:b w:val="0"/>
          <w:lang w:val="da-DK" w:bidi="da-DK"/>
        </w:rPr>
        <w:t>.</w:t>
      </w:r>
    </w:p>
    <w:p w14:paraId="7EBA78C6" w14:textId="77777777" w:rsidR="002624F7" w:rsidRPr="003B0E1F" w:rsidRDefault="00C12F71" w:rsidP="00E752D3">
      <w:pPr>
        <w:pStyle w:val="Heading3"/>
        <w:ind w:left="822"/>
        <w:jc w:val="both"/>
        <w:rPr>
          <w:lang w:val="da-DK"/>
        </w:rPr>
      </w:pPr>
      <w:r w:rsidRPr="00444F0F">
        <w:rPr>
          <w:lang w:val="da-DK" w:bidi="da-DK"/>
        </w:rPr>
        <w:t> </w:t>
      </w:r>
    </w:p>
    <w:sectPr w:rsidR="002624F7" w:rsidRPr="003B0E1F" w:rsidSect="00AD38EB">
      <w:headerReference w:type="even" r:id="rId13"/>
      <w:headerReference w:type="default" r:id="rId14"/>
      <w:footerReference w:type="default" r:id="rId15"/>
      <w:headerReference w:type="first" r:id="rId16"/>
      <w:footerReference w:type="first" r:id="rId17"/>
      <w:pgSz w:w="11907" w:h="16839" w:code="9"/>
      <w:pgMar w:top="2070" w:right="2631" w:bottom="1701" w:left="1134" w:header="488"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8E52C" w14:textId="77777777" w:rsidR="009D6616" w:rsidRDefault="009D6616">
      <w:r>
        <w:separator/>
      </w:r>
    </w:p>
  </w:endnote>
  <w:endnote w:type="continuationSeparator" w:id="0">
    <w:p w14:paraId="198D421B" w14:textId="77777777" w:rsidR="009D6616" w:rsidRDefault="009D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loplas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D122" w14:textId="77777777" w:rsidR="0076776B" w:rsidRDefault="0076776B">
    <w:pPr>
      <w:pStyle w:val="Footer"/>
    </w:pPr>
    <w:r>
      <w:rPr>
        <w:noProof/>
        <w:lang w:val="da-DK"/>
      </w:rPr>
      <mc:AlternateContent>
        <mc:Choice Requires="wps">
          <w:drawing>
            <wp:anchor distT="0" distB="0" distL="114300" distR="114300" simplePos="0" relativeHeight="251659776" behindDoc="0" locked="0" layoutInCell="1" allowOverlap="1" wp14:anchorId="14E8F1CA" wp14:editId="47909F1C">
              <wp:simplePos x="0" y="0"/>
              <wp:positionH relativeFrom="page">
                <wp:align>right</wp:align>
              </wp:positionH>
              <wp:positionV relativeFrom="page">
                <wp:align>bottom</wp:align>
              </wp:positionV>
              <wp:extent cx="1670685" cy="95123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8525" w14:textId="50021AB2" w:rsidR="0076776B" w:rsidRPr="004E5FBB" w:rsidRDefault="0076776B" w:rsidP="00024008">
                          <w:pPr>
                            <w:rPr>
                              <w:rStyle w:val="PageNumber"/>
                            </w:rPr>
                          </w:pPr>
                          <w:r>
                            <w:rPr>
                              <w:rStyle w:val="PageNumber"/>
                              <w:lang w:val="da-DK" w:bidi="da-DK"/>
                            </w:rPr>
                            <w:fldChar w:fldCharType="begin"/>
                          </w:r>
                          <w:r>
                            <w:rPr>
                              <w:rStyle w:val="PageNumber"/>
                              <w:lang w:val="da-DK" w:bidi="da-DK"/>
                            </w:rPr>
                            <w:instrText xml:space="preserve"> PAGE </w:instrText>
                          </w:r>
                          <w:r>
                            <w:rPr>
                              <w:rStyle w:val="PageNumber"/>
                              <w:lang w:val="da-DK" w:bidi="da-DK"/>
                            </w:rPr>
                            <w:fldChar w:fldCharType="separate"/>
                          </w:r>
                          <w:r w:rsidR="00830DE8">
                            <w:rPr>
                              <w:rStyle w:val="PageNumber"/>
                              <w:noProof/>
                              <w:lang w:val="da-DK" w:bidi="da-DK"/>
                            </w:rPr>
                            <w:t>4</w:t>
                          </w:r>
                          <w:r>
                            <w:rPr>
                              <w:rStyle w:val="PageNumber"/>
                              <w:lang w:val="da-DK" w:bidi="da-DK"/>
                            </w:rPr>
                            <w:fldChar w:fldCharType="end"/>
                          </w:r>
                          <w:r>
                            <w:rPr>
                              <w:rStyle w:val="PageNumber"/>
                              <w:lang w:val="da-DK" w:bidi="da-DK"/>
                            </w:rPr>
                            <w:t>/</w:t>
                          </w:r>
                          <w:r>
                            <w:rPr>
                              <w:rStyle w:val="PageNumber"/>
                              <w:lang w:val="da-DK" w:bidi="da-DK"/>
                            </w:rPr>
                            <w:fldChar w:fldCharType="begin"/>
                          </w:r>
                          <w:r>
                            <w:rPr>
                              <w:rStyle w:val="PageNumber"/>
                              <w:lang w:val="da-DK" w:bidi="da-DK"/>
                            </w:rPr>
                            <w:instrText xml:space="preserve"> NUMPAGES </w:instrText>
                          </w:r>
                          <w:r>
                            <w:rPr>
                              <w:rStyle w:val="PageNumber"/>
                              <w:lang w:val="da-DK" w:bidi="da-DK"/>
                            </w:rPr>
                            <w:fldChar w:fldCharType="separate"/>
                          </w:r>
                          <w:r w:rsidR="00830DE8">
                            <w:rPr>
                              <w:rStyle w:val="PageNumber"/>
                              <w:noProof/>
                              <w:lang w:val="da-DK" w:bidi="da-DK"/>
                            </w:rPr>
                            <w:t>10</w:t>
                          </w:r>
                          <w:r>
                            <w:rPr>
                              <w:rStyle w:val="PageNumber"/>
                              <w:lang w:val="da-DK" w:bidi="da-D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8F1CA" id="_x0000_t202" coordsize="21600,21600" o:spt="202" path="m,l,21600r21600,l21600,xe">
              <v:stroke joinstyle="miter"/>
              <v:path gradientshapeok="t" o:connecttype="rect"/>
            </v:shapetype>
            <v:shape id="Text Box 41" o:spid="_x0000_s1026" type="#_x0000_t202" style="position:absolute;margin-left:80.35pt;margin-top:0;width:131.55pt;height:74.9pt;z-index:2516597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" filled="f" stroked="f">
              <v:textbox inset="0,0,0,0">
                <w:txbxContent>
                  <w:p w14:paraId="669B8525" w14:textId="50021AB2" w:rsidR="0076776B" w:rsidRPr="004E5FBB" w:rsidRDefault="0076776B" w:rsidP="00024008">
                    <w:pPr>
                      <w:rPr>
                        <w:rStyle w:val="PageNumber"/>
                      </w:rPr>
                    </w:pPr>
                    <w:r>
                      <w:rPr>
                        <w:rStyle w:val="PageNumber"/>
                        <w:lang w:val="da-DK" w:bidi="da-DK"/>
                      </w:rPr>
                      <w:fldChar w:fldCharType="begin"/>
                    </w:r>
                    <w:r>
                      <w:rPr>
                        <w:rStyle w:val="PageNumber"/>
                        <w:lang w:val="da-DK" w:bidi="da-DK"/>
                      </w:rPr>
                      <w:instrText xml:space="preserve"> PAGE </w:instrText>
                    </w:r>
                    <w:r>
                      <w:rPr>
                        <w:rStyle w:val="PageNumber"/>
                        <w:lang w:val="da-DK" w:bidi="da-DK"/>
                      </w:rPr>
                      <w:fldChar w:fldCharType="separate"/>
                    </w:r>
                    <w:r w:rsidR="00830DE8">
                      <w:rPr>
                        <w:rStyle w:val="PageNumber"/>
                        <w:noProof/>
                        <w:lang w:val="da-DK" w:bidi="da-DK"/>
                      </w:rPr>
                      <w:t>4</w:t>
                    </w:r>
                    <w:r>
                      <w:rPr>
                        <w:rStyle w:val="PageNumber"/>
                        <w:lang w:val="da-DK" w:bidi="da-DK"/>
                      </w:rPr>
                      <w:fldChar w:fldCharType="end"/>
                    </w:r>
                    <w:r>
                      <w:rPr>
                        <w:rStyle w:val="PageNumber"/>
                        <w:lang w:val="da-DK" w:bidi="da-DK"/>
                      </w:rPr>
                      <w:t>/</w:t>
                    </w:r>
                    <w:r>
                      <w:rPr>
                        <w:rStyle w:val="PageNumber"/>
                        <w:lang w:val="da-DK" w:bidi="da-DK"/>
                      </w:rPr>
                      <w:fldChar w:fldCharType="begin"/>
                    </w:r>
                    <w:r>
                      <w:rPr>
                        <w:rStyle w:val="PageNumber"/>
                        <w:lang w:val="da-DK" w:bidi="da-DK"/>
                      </w:rPr>
                      <w:instrText xml:space="preserve"> NUMPAGES </w:instrText>
                    </w:r>
                    <w:r>
                      <w:rPr>
                        <w:rStyle w:val="PageNumber"/>
                        <w:lang w:val="da-DK" w:bidi="da-DK"/>
                      </w:rPr>
                      <w:fldChar w:fldCharType="separate"/>
                    </w:r>
                    <w:r w:rsidR="00830DE8">
                      <w:rPr>
                        <w:rStyle w:val="PageNumber"/>
                        <w:noProof/>
                        <w:lang w:val="da-DK" w:bidi="da-DK"/>
                      </w:rPr>
                      <w:t>10</w:t>
                    </w:r>
                    <w:r>
                      <w:rPr>
                        <w:rStyle w:val="PageNumber"/>
                        <w:lang w:val="da-DK" w:bidi="da-D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227" w:type="dxa"/>
      </w:tblCellMar>
      <w:tblLook w:val="01E0" w:firstRow="1" w:lastRow="1" w:firstColumn="1" w:lastColumn="1" w:noHBand="0" w:noVBand="0"/>
    </w:tblPr>
    <w:tblGrid>
      <w:gridCol w:w="2325"/>
      <w:gridCol w:w="2325"/>
      <w:gridCol w:w="2325"/>
      <w:gridCol w:w="2325"/>
    </w:tblGrid>
    <w:tr w:rsidR="0076776B" w14:paraId="49438473" w14:textId="77777777" w:rsidTr="007455D1">
      <w:trPr>
        <w:trHeight w:hRule="exact" w:val="839"/>
      </w:trPr>
      <w:tc>
        <w:tcPr>
          <w:tcW w:w="2325" w:type="dxa"/>
        </w:tcPr>
        <w:p w14:paraId="479FCDC0" w14:textId="77777777" w:rsidR="0076776B" w:rsidRDefault="0076776B" w:rsidP="009E542B">
          <w:pPr>
            <w:pStyle w:val="Footer"/>
          </w:pPr>
        </w:p>
      </w:tc>
      <w:tc>
        <w:tcPr>
          <w:tcW w:w="2325" w:type="dxa"/>
        </w:tcPr>
        <w:p w14:paraId="58A520AE" w14:textId="77777777" w:rsidR="0076776B" w:rsidRDefault="0076776B" w:rsidP="009E542B">
          <w:pPr>
            <w:pStyle w:val="Footer"/>
          </w:pPr>
        </w:p>
      </w:tc>
      <w:tc>
        <w:tcPr>
          <w:tcW w:w="2325" w:type="dxa"/>
        </w:tcPr>
        <w:p w14:paraId="51E39C8F" w14:textId="77777777" w:rsidR="0076776B" w:rsidRDefault="0076776B" w:rsidP="009E542B">
          <w:pPr>
            <w:pStyle w:val="Footer"/>
          </w:pPr>
        </w:p>
      </w:tc>
      <w:tc>
        <w:tcPr>
          <w:tcW w:w="2325" w:type="dxa"/>
        </w:tcPr>
        <w:p w14:paraId="23FA02A0" w14:textId="667B31F3" w:rsidR="0076776B" w:rsidRDefault="0076776B" w:rsidP="007455D1">
          <w:pPr>
            <w:pStyle w:val="Footer"/>
            <w:tabs>
              <w:tab w:val="left" w:pos="1172"/>
            </w:tabs>
          </w:pPr>
          <w:r>
            <w:rPr>
              <w:rStyle w:val="PageNumber"/>
              <w:lang w:val="da-DK" w:bidi="da-DK"/>
            </w:rPr>
            <w:tab/>
          </w:r>
          <w:r>
            <w:rPr>
              <w:rStyle w:val="PageNumber"/>
              <w:lang w:val="da-DK" w:bidi="da-DK"/>
            </w:rPr>
            <w:fldChar w:fldCharType="begin"/>
          </w:r>
          <w:r>
            <w:rPr>
              <w:rStyle w:val="PageNumber"/>
              <w:lang w:val="da-DK" w:bidi="da-DK"/>
            </w:rPr>
            <w:instrText xml:space="preserve"> PAGE </w:instrText>
          </w:r>
          <w:r>
            <w:rPr>
              <w:rStyle w:val="PageNumber"/>
              <w:lang w:val="da-DK" w:bidi="da-DK"/>
            </w:rPr>
            <w:fldChar w:fldCharType="separate"/>
          </w:r>
          <w:r w:rsidR="00830DE8">
            <w:rPr>
              <w:rStyle w:val="PageNumber"/>
              <w:noProof/>
              <w:lang w:val="da-DK" w:bidi="da-DK"/>
            </w:rPr>
            <w:t>1</w:t>
          </w:r>
          <w:r>
            <w:rPr>
              <w:rStyle w:val="PageNumber"/>
              <w:lang w:val="da-DK" w:bidi="da-DK"/>
            </w:rPr>
            <w:fldChar w:fldCharType="end"/>
          </w:r>
          <w:r>
            <w:rPr>
              <w:rStyle w:val="PageNumber"/>
              <w:lang w:val="da-DK" w:bidi="da-DK"/>
            </w:rPr>
            <w:t>/</w:t>
          </w:r>
          <w:r>
            <w:rPr>
              <w:rStyle w:val="PageNumber"/>
              <w:lang w:val="da-DK" w:bidi="da-DK"/>
            </w:rPr>
            <w:fldChar w:fldCharType="begin"/>
          </w:r>
          <w:r>
            <w:rPr>
              <w:rStyle w:val="PageNumber"/>
              <w:lang w:val="da-DK" w:bidi="da-DK"/>
            </w:rPr>
            <w:instrText xml:space="preserve"> NUMPAGES </w:instrText>
          </w:r>
          <w:r>
            <w:rPr>
              <w:rStyle w:val="PageNumber"/>
              <w:lang w:val="da-DK" w:bidi="da-DK"/>
            </w:rPr>
            <w:fldChar w:fldCharType="separate"/>
          </w:r>
          <w:r w:rsidR="00830DE8">
            <w:rPr>
              <w:rStyle w:val="PageNumber"/>
              <w:noProof/>
              <w:lang w:val="da-DK" w:bidi="da-DK"/>
            </w:rPr>
            <w:t>10</w:t>
          </w:r>
          <w:r>
            <w:rPr>
              <w:rStyle w:val="PageNumber"/>
              <w:lang w:val="da-DK" w:bidi="da-DK"/>
            </w:rPr>
            <w:fldChar w:fldCharType="end"/>
          </w:r>
        </w:p>
      </w:tc>
    </w:tr>
    <w:tr w:rsidR="0076776B" w14:paraId="174E958F" w14:textId="77777777" w:rsidTr="007455D1">
      <w:tc>
        <w:tcPr>
          <w:tcW w:w="2325" w:type="dxa"/>
        </w:tcPr>
        <w:p w14:paraId="3E3CFED4" w14:textId="77777777" w:rsidR="0076776B" w:rsidRDefault="0076776B" w:rsidP="009E542B">
          <w:pPr>
            <w:pStyle w:val="Footer"/>
          </w:pPr>
          <w:bookmarkStart w:id="9" w:name="bmkOffFooter1"/>
          <w:bookmarkEnd w:id="9"/>
        </w:p>
      </w:tc>
      <w:tc>
        <w:tcPr>
          <w:tcW w:w="2325" w:type="dxa"/>
        </w:tcPr>
        <w:p w14:paraId="4508D6B1" w14:textId="77777777" w:rsidR="0076776B" w:rsidRDefault="0076776B" w:rsidP="009E542B">
          <w:pPr>
            <w:pStyle w:val="Footer"/>
          </w:pPr>
          <w:bookmarkStart w:id="10" w:name="bmkOffFooter2"/>
          <w:bookmarkEnd w:id="10"/>
        </w:p>
      </w:tc>
      <w:tc>
        <w:tcPr>
          <w:tcW w:w="2325" w:type="dxa"/>
        </w:tcPr>
        <w:p w14:paraId="7F212FAB" w14:textId="77777777" w:rsidR="0076776B" w:rsidRDefault="0076776B" w:rsidP="009E542B">
          <w:pPr>
            <w:pStyle w:val="Footer"/>
          </w:pPr>
          <w:bookmarkStart w:id="11" w:name="bmkOffFooter3"/>
          <w:bookmarkEnd w:id="11"/>
        </w:p>
      </w:tc>
      <w:tc>
        <w:tcPr>
          <w:tcW w:w="2325" w:type="dxa"/>
        </w:tcPr>
        <w:p w14:paraId="372EBE7D" w14:textId="77777777" w:rsidR="0076776B" w:rsidRDefault="0076776B" w:rsidP="009E542B">
          <w:pPr>
            <w:pStyle w:val="Footer"/>
          </w:pPr>
          <w:bookmarkStart w:id="12" w:name="bmkOffFooter4"/>
          <w:bookmarkEnd w:id="12"/>
        </w:p>
      </w:tc>
    </w:tr>
  </w:tbl>
  <w:p w14:paraId="3CCC41C0" w14:textId="77777777" w:rsidR="0076776B" w:rsidRDefault="0076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0B0C" w14:textId="77777777" w:rsidR="009D6616" w:rsidRDefault="009D6616">
      <w:r>
        <w:separator/>
      </w:r>
    </w:p>
  </w:footnote>
  <w:footnote w:type="continuationSeparator" w:id="0">
    <w:p w14:paraId="7DBF6B47" w14:textId="77777777" w:rsidR="009D6616" w:rsidRDefault="009D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209A" w14:textId="77777777" w:rsidR="0076776B" w:rsidRDefault="0076776B">
    <w:pPr>
      <w:pStyle w:val="Header"/>
    </w:pPr>
    <w:r>
      <w:rPr>
        <w:noProof/>
        <w:lang w:val="da-DK"/>
      </w:rPr>
      <w:drawing>
        <wp:anchor distT="0" distB="0" distL="0" distR="0" simplePos="0" relativeHeight="251655680" behindDoc="0" locked="0" layoutInCell="1" allowOverlap="1" wp14:anchorId="5837DDE8" wp14:editId="7248E95E">
          <wp:simplePos x="0" y="0"/>
          <wp:positionH relativeFrom="page">
            <wp:align>right</wp:align>
          </wp:positionH>
          <wp:positionV relativeFrom="page">
            <wp:posOffset>359410</wp:posOffset>
          </wp:positionV>
          <wp:extent cx="2159635" cy="523875"/>
          <wp:effectExtent l="0" t="0" r="0" b="0"/>
          <wp:wrapNone/>
          <wp:docPr id="5" name="LogoH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3310" w14:textId="4CE665D6" w:rsidR="0076776B" w:rsidRPr="003B0E1F" w:rsidRDefault="004C4A12">
    <w:pPr>
      <w:pStyle w:val="Header"/>
      <w:rPr>
        <w:lang w:val="da-DK"/>
      </w:rPr>
    </w:pPr>
    <w:r>
      <w:rPr>
        <w:lang w:val="da-DK"/>
      </w:rPr>
      <w:t>Bilag 2</w:t>
    </w:r>
    <w:r w:rsidR="003B0E1F" w:rsidRPr="003B0E1F">
      <w:rPr>
        <w:lang w:val="da-DK"/>
      </w:rPr>
      <w:t xml:space="preserve"> </w:t>
    </w:r>
  </w:p>
  <w:p w14:paraId="168DA78F" w14:textId="77777777" w:rsidR="0076776B" w:rsidRPr="003B0E1F" w:rsidRDefault="0076776B">
    <w:pPr>
      <w:pStyle w:val="Header"/>
      <w:rPr>
        <w:lang w:val="da-DK"/>
      </w:rPr>
    </w:pPr>
  </w:p>
  <w:p w14:paraId="5361DC02" w14:textId="77777777" w:rsidR="0076776B" w:rsidRPr="003B0E1F" w:rsidRDefault="0076776B">
    <w:pPr>
      <w:pStyle w:val="Header"/>
      <w:rPr>
        <w:lang w:val="da-DK"/>
      </w:rPr>
    </w:pPr>
  </w:p>
  <w:p w14:paraId="6C42285E" w14:textId="77777777" w:rsidR="0076776B" w:rsidRPr="003B0E1F" w:rsidRDefault="0076776B">
    <w:pPr>
      <w:pStyle w:val="Header"/>
      <w:rPr>
        <w:lang w:val="da-DK"/>
      </w:rPr>
    </w:pPr>
  </w:p>
  <w:p w14:paraId="411390B7" w14:textId="77777777" w:rsidR="0076776B" w:rsidRPr="003B0E1F" w:rsidRDefault="0076776B">
    <w:pPr>
      <w:pStyle w:val="Header"/>
      <w:rPr>
        <w:lang w:val="da-DK"/>
      </w:rPr>
    </w:pPr>
  </w:p>
  <w:p w14:paraId="26A38BFB" w14:textId="77777777" w:rsidR="0076776B" w:rsidRPr="003B0E1F" w:rsidRDefault="0076776B">
    <w:pPr>
      <w:pStyle w:val="Header"/>
      <w:rPr>
        <w:lang w:val="da-DK"/>
      </w:rPr>
    </w:pPr>
  </w:p>
  <w:p w14:paraId="6B3DEB4E" w14:textId="77777777" w:rsidR="0076776B" w:rsidRPr="003B0E1F" w:rsidRDefault="0076776B">
    <w:pPr>
      <w:pStyle w:val="Header"/>
      <w:rPr>
        <w:lang w:val="da-DK"/>
      </w:rPr>
    </w:pPr>
  </w:p>
  <w:p w14:paraId="41790858" w14:textId="77777777" w:rsidR="0076776B" w:rsidRPr="003B0E1F" w:rsidRDefault="0076776B">
    <w:pPr>
      <w:pStyle w:val="Header"/>
      <w:rPr>
        <w:lang w:val="da-DK"/>
      </w:rPr>
    </w:pPr>
  </w:p>
  <w:p w14:paraId="5B41FF4B" w14:textId="77777777" w:rsidR="0076776B" w:rsidRPr="003B0E1F" w:rsidRDefault="0076776B">
    <w:pPr>
      <w:pStyle w:val="Header"/>
      <w:rPr>
        <w:lang w:val="da-DK"/>
      </w:rPr>
    </w:pPr>
  </w:p>
  <w:p w14:paraId="0DEBCC99" w14:textId="77777777" w:rsidR="0076776B" w:rsidRPr="003B0E1F" w:rsidRDefault="0076776B">
    <w:pPr>
      <w:pStyle w:val="Header"/>
      <w:rPr>
        <w:lang w:val="da-DK"/>
      </w:rPr>
    </w:pPr>
  </w:p>
  <w:p w14:paraId="2A14AFB9" w14:textId="77777777" w:rsidR="0076776B" w:rsidRDefault="0076776B" w:rsidP="00E041C6">
    <w:pPr>
      <w:pStyle w:val="Header"/>
      <w:spacing w:after="120"/>
    </w:pPr>
    <w:r>
      <w:rPr>
        <w:noProof/>
        <w:lang w:val="da-DK"/>
      </w:rPr>
      <w:drawing>
        <wp:anchor distT="0" distB="0" distL="0" distR="0" simplePos="0" relativeHeight="251657728" behindDoc="0" locked="0" layoutInCell="1" allowOverlap="1" wp14:anchorId="5BA85D5D" wp14:editId="651294F2">
          <wp:simplePos x="0" y="0"/>
          <wp:positionH relativeFrom="page">
            <wp:align>right</wp:align>
          </wp:positionH>
          <wp:positionV relativeFrom="page">
            <wp:posOffset>359410</wp:posOffset>
          </wp:positionV>
          <wp:extent cx="2159635" cy="523875"/>
          <wp:effectExtent l="0" t="0" r="0" b="0"/>
          <wp:wrapNone/>
          <wp:docPr id="3" name="LogoH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636C" w14:textId="7456A481" w:rsidR="0076776B" w:rsidRPr="00C22E9D" w:rsidRDefault="0076776B" w:rsidP="00C22E9D">
    <w:pPr>
      <w:pStyle w:val="Template-Companyname"/>
      <w:rPr>
        <w:lang w:val="da-DK"/>
      </w:rPr>
    </w:pPr>
    <w:r>
      <w:rPr>
        <w:lang w:val="da-DK"/>
      </w:rPr>
      <w:drawing>
        <wp:anchor distT="0" distB="0" distL="0" distR="0" simplePos="0" relativeHeight="251656704" behindDoc="0" locked="0" layoutInCell="1" allowOverlap="1" wp14:anchorId="1234CF04" wp14:editId="0EF677C4">
          <wp:simplePos x="0" y="0"/>
          <wp:positionH relativeFrom="page">
            <wp:align>right</wp:align>
          </wp:positionH>
          <wp:positionV relativeFrom="page">
            <wp:posOffset>359410</wp:posOffset>
          </wp:positionV>
          <wp:extent cx="2159635" cy="523875"/>
          <wp:effectExtent l="0" t="0" r="0" b="0"/>
          <wp:wrapNone/>
          <wp:docPr id="1" name="LogoH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219">
      <w:rPr>
        <w:lang w:val="da-DK" w:bidi="da-DK"/>
      </w:rPr>
      <w:t>Bilag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746F"/>
    <w:multiLevelType w:val="hybridMultilevel"/>
    <w:tmpl w:val="1CAC5F24"/>
    <w:lvl w:ilvl="0" w:tplc="6F12953A">
      <w:start w:val="1"/>
      <w:numFmt w:val="bullet"/>
      <w:lvlText w:val="•"/>
      <w:lvlJc w:val="left"/>
      <w:pPr>
        <w:tabs>
          <w:tab w:val="num" w:pos="720"/>
        </w:tabs>
        <w:ind w:left="720" w:hanging="360"/>
      </w:pPr>
      <w:rPr>
        <w:rFonts w:ascii="Arial" w:hAnsi="Arial" w:hint="default"/>
      </w:rPr>
    </w:lvl>
    <w:lvl w:ilvl="1" w:tplc="695ECC64" w:tentative="1">
      <w:start w:val="1"/>
      <w:numFmt w:val="bullet"/>
      <w:lvlText w:val="•"/>
      <w:lvlJc w:val="left"/>
      <w:pPr>
        <w:tabs>
          <w:tab w:val="num" w:pos="1440"/>
        </w:tabs>
        <w:ind w:left="1440" w:hanging="360"/>
      </w:pPr>
      <w:rPr>
        <w:rFonts w:ascii="Arial" w:hAnsi="Arial" w:hint="default"/>
      </w:rPr>
    </w:lvl>
    <w:lvl w:ilvl="2" w:tplc="8E1675A4" w:tentative="1">
      <w:start w:val="1"/>
      <w:numFmt w:val="bullet"/>
      <w:lvlText w:val="•"/>
      <w:lvlJc w:val="left"/>
      <w:pPr>
        <w:tabs>
          <w:tab w:val="num" w:pos="2160"/>
        </w:tabs>
        <w:ind w:left="2160" w:hanging="360"/>
      </w:pPr>
      <w:rPr>
        <w:rFonts w:ascii="Arial" w:hAnsi="Arial" w:hint="default"/>
      </w:rPr>
    </w:lvl>
    <w:lvl w:ilvl="3" w:tplc="A88C6D62" w:tentative="1">
      <w:start w:val="1"/>
      <w:numFmt w:val="bullet"/>
      <w:lvlText w:val="•"/>
      <w:lvlJc w:val="left"/>
      <w:pPr>
        <w:tabs>
          <w:tab w:val="num" w:pos="2880"/>
        </w:tabs>
        <w:ind w:left="2880" w:hanging="360"/>
      </w:pPr>
      <w:rPr>
        <w:rFonts w:ascii="Arial" w:hAnsi="Arial" w:hint="default"/>
      </w:rPr>
    </w:lvl>
    <w:lvl w:ilvl="4" w:tplc="A320A16E" w:tentative="1">
      <w:start w:val="1"/>
      <w:numFmt w:val="bullet"/>
      <w:lvlText w:val="•"/>
      <w:lvlJc w:val="left"/>
      <w:pPr>
        <w:tabs>
          <w:tab w:val="num" w:pos="3600"/>
        </w:tabs>
        <w:ind w:left="3600" w:hanging="360"/>
      </w:pPr>
      <w:rPr>
        <w:rFonts w:ascii="Arial" w:hAnsi="Arial" w:hint="default"/>
      </w:rPr>
    </w:lvl>
    <w:lvl w:ilvl="5" w:tplc="92322556" w:tentative="1">
      <w:start w:val="1"/>
      <w:numFmt w:val="bullet"/>
      <w:lvlText w:val="•"/>
      <w:lvlJc w:val="left"/>
      <w:pPr>
        <w:tabs>
          <w:tab w:val="num" w:pos="4320"/>
        </w:tabs>
        <w:ind w:left="4320" w:hanging="360"/>
      </w:pPr>
      <w:rPr>
        <w:rFonts w:ascii="Arial" w:hAnsi="Arial" w:hint="default"/>
      </w:rPr>
    </w:lvl>
    <w:lvl w:ilvl="6" w:tplc="B1D25508" w:tentative="1">
      <w:start w:val="1"/>
      <w:numFmt w:val="bullet"/>
      <w:lvlText w:val="•"/>
      <w:lvlJc w:val="left"/>
      <w:pPr>
        <w:tabs>
          <w:tab w:val="num" w:pos="5040"/>
        </w:tabs>
        <w:ind w:left="5040" w:hanging="360"/>
      </w:pPr>
      <w:rPr>
        <w:rFonts w:ascii="Arial" w:hAnsi="Arial" w:hint="default"/>
      </w:rPr>
    </w:lvl>
    <w:lvl w:ilvl="7" w:tplc="AB324E7E" w:tentative="1">
      <w:start w:val="1"/>
      <w:numFmt w:val="bullet"/>
      <w:lvlText w:val="•"/>
      <w:lvlJc w:val="left"/>
      <w:pPr>
        <w:tabs>
          <w:tab w:val="num" w:pos="5760"/>
        </w:tabs>
        <w:ind w:left="5760" w:hanging="360"/>
      </w:pPr>
      <w:rPr>
        <w:rFonts w:ascii="Arial" w:hAnsi="Arial" w:hint="default"/>
      </w:rPr>
    </w:lvl>
    <w:lvl w:ilvl="8" w:tplc="8780B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D468D8"/>
    <w:multiLevelType w:val="multilevel"/>
    <w:tmpl w:val="A24EF70A"/>
    <w:lvl w:ilvl="0">
      <w:start w:val="1"/>
      <w:numFmt w:val="decimal"/>
      <w:lvlText w:val="%1"/>
      <w:lvlJc w:val="left"/>
      <w:pPr>
        <w:tabs>
          <w:tab w:val="num" w:pos="822"/>
        </w:tabs>
        <w:ind w:left="822" w:hanging="822"/>
      </w:pPr>
    </w:lvl>
    <w:lvl w:ilvl="1">
      <w:start w:val="1"/>
      <w:numFmt w:val="decimal"/>
      <w:lvlText w:val="%1.%2"/>
      <w:lvlJc w:val="left"/>
      <w:pPr>
        <w:tabs>
          <w:tab w:val="num" w:pos="822"/>
        </w:tabs>
        <w:ind w:left="822" w:hanging="822"/>
      </w:pPr>
    </w:lvl>
    <w:lvl w:ilvl="2">
      <w:start w:val="1"/>
      <w:numFmt w:val="decimal"/>
      <w:lvlText w:val="%1.%2.%3"/>
      <w:lvlJc w:val="left"/>
      <w:pPr>
        <w:tabs>
          <w:tab w:val="num" w:pos="822"/>
        </w:tabs>
        <w:ind w:left="822" w:hanging="822"/>
      </w:pPr>
    </w:lvl>
    <w:lvl w:ilvl="3">
      <w:start w:val="1"/>
      <w:numFmt w:val="decimal"/>
      <w:lvlText w:val="%1.%2.%3.%4"/>
      <w:lvlJc w:val="left"/>
      <w:pPr>
        <w:tabs>
          <w:tab w:val="num" w:pos="822"/>
        </w:tabs>
        <w:ind w:left="822" w:hanging="822"/>
      </w:pPr>
    </w:lvl>
    <w:lvl w:ilvl="4">
      <w:start w:val="1"/>
      <w:numFmt w:val="lowerLetter"/>
      <w:lvlText w:val="(%5)"/>
      <w:lvlJc w:val="left"/>
      <w:pPr>
        <w:tabs>
          <w:tab w:val="num" w:pos="1276"/>
        </w:tabs>
        <w:ind w:left="1276" w:hanging="454"/>
      </w:pPr>
    </w:lvl>
    <w:lvl w:ilvl="5">
      <w:start w:val="1"/>
      <w:numFmt w:val="lowerRoman"/>
      <w:lvlText w:val="(%6)"/>
      <w:lvlJc w:val="left"/>
      <w:pPr>
        <w:tabs>
          <w:tab w:val="num" w:pos="1729"/>
        </w:tabs>
        <w:ind w:left="1729" w:hanging="453"/>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2" w15:restartNumberingAfterBreak="0">
    <w:nsid w:val="268B6A40"/>
    <w:multiLevelType w:val="hybridMultilevel"/>
    <w:tmpl w:val="95A8F37C"/>
    <w:lvl w:ilvl="0" w:tplc="7D605FD2">
      <w:numFmt w:val="bullet"/>
      <w:lvlText w:val="-"/>
      <w:lvlJc w:val="left"/>
      <w:pPr>
        <w:ind w:left="1182" w:hanging="360"/>
      </w:pPr>
      <w:rPr>
        <w:rFonts w:ascii="Verdana" w:eastAsia="Times New Roman" w:hAnsi="Verdana"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15:restartNumberingAfterBreak="0">
    <w:nsid w:val="2E0F20A5"/>
    <w:multiLevelType w:val="hybridMultilevel"/>
    <w:tmpl w:val="43C07D6A"/>
    <w:lvl w:ilvl="0" w:tplc="D58ACBA8">
      <w:start w:val="1"/>
      <w:numFmt w:val="bullet"/>
      <w:lvlText w:val="•"/>
      <w:lvlJc w:val="left"/>
      <w:pPr>
        <w:tabs>
          <w:tab w:val="num" w:pos="720"/>
        </w:tabs>
        <w:ind w:left="720" w:hanging="360"/>
      </w:pPr>
      <w:rPr>
        <w:rFonts w:ascii="Arial" w:hAnsi="Arial" w:hint="default"/>
      </w:rPr>
    </w:lvl>
    <w:lvl w:ilvl="1" w:tplc="763A24C2" w:tentative="1">
      <w:start w:val="1"/>
      <w:numFmt w:val="bullet"/>
      <w:lvlText w:val="•"/>
      <w:lvlJc w:val="left"/>
      <w:pPr>
        <w:tabs>
          <w:tab w:val="num" w:pos="1440"/>
        </w:tabs>
        <w:ind w:left="1440" w:hanging="360"/>
      </w:pPr>
      <w:rPr>
        <w:rFonts w:ascii="Arial" w:hAnsi="Arial" w:hint="default"/>
      </w:rPr>
    </w:lvl>
    <w:lvl w:ilvl="2" w:tplc="775A1A82" w:tentative="1">
      <w:start w:val="1"/>
      <w:numFmt w:val="bullet"/>
      <w:lvlText w:val="•"/>
      <w:lvlJc w:val="left"/>
      <w:pPr>
        <w:tabs>
          <w:tab w:val="num" w:pos="2160"/>
        </w:tabs>
        <w:ind w:left="2160" w:hanging="360"/>
      </w:pPr>
      <w:rPr>
        <w:rFonts w:ascii="Arial" w:hAnsi="Arial" w:hint="default"/>
      </w:rPr>
    </w:lvl>
    <w:lvl w:ilvl="3" w:tplc="66264B52" w:tentative="1">
      <w:start w:val="1"/>
      <w:numFmt w:val="bullet"/>
      <w:lvlText w:val="•"/>
      <w:lvlJc w:val="left"/>
      <w:pPr>
        <w:tabs>
          <w:tab w:val="num" w:pos="2880"/>
        </w:tabs>
        <w:ind w:left="2880" w:hanging="360"/>
      </w:pPr>
      <w:rPr>
        <w:rFonts w:ascii="Arial" w:hAnsi="Arial" w:hint="default"/>
      </w:rPr>
    </w:lvl>
    <w:lvl w:ilvl="4" w:tplc="1F0C805E" w:tentative="1">
      <w:start w:val="1"/>
      <w:numFmt w:val="bullet"/>
      <w:lvlText w:val="•"/>
      <w:lvlJc w:val="left"/>
      <w:pPr>
        <w:tabs>
          <w:tab w:val="num" w:pos="3600"/>
        </w:tabs>
        <w:ind w:left="3600" w:hanging="360"/>
      </w:pPr>
      <w:rPr>
        <w:rFonts w:ascii="Arial" w:hAnsi="Arial" w:hint="default"/>
      </w:rPr>
    </w:lvl>
    <w:lvl w:ilvl="5" w:tplc="3E5A58BC" w:tentative="1">
      <w:start w:val="1"/>
      <w:numFmt w:val="bullet"/>
      <w:lvlText w:val="•"/>
      <w:lvlJc w:val="left"/>
      <w:pPr>
        <w:tabs>
          <w:tab w:val="num" w:pos="4320"/>
        </w:tabs>
        <w:ind w:left="4320" w:hanging="360"/>
      </w:pPr>
      <w:rPr>
        <w:rFonts w:ascii="Arial" w:hAnsi="Arial" w:hint="default"/>
      </w:rPr>
    </w:lvl>
    <w:lvl w:ilvl="6" w:tplc="B8F87114" w:tentative="1">
      <w:start w:val="1"/>
      <w:numFmt w:val="bullet"/>
      <w:lvlText w:val="•"/>
      <w:lvlJc w:val="left"/>
      <w:pPr>
        <w:tabs>
          <w:tab w:val="num" w:pos="5040"/>
        </w:tabs>
        <w:ind w:left="5040" w:hanging="360"/>
      </w:pPr>
      <w:rPr>
        <w:rFonts w:ascii="Arial" w:hAnsi="Arial" w:hint="default"/>
      </w:rPr>
    </w:lvl>
    <w:lvl w:ilvl="7" w:tplc="AE86D3DA" w:tentative="1">
      <w:start w:val="1"/>
      <w:numFmt w:val="bullet"/>
      <w:lvlText w:val="•"/>
      <w:lvlJc w:val="left"/>
      <w:pPr>
        <w:tabs>
          <w:tab w:val="num" w:pos="5760"/>
        </w:tabs>
        <w:ind w:left="5760" w:hanging="360"/>
      </w:pPr>
      <w:rPr>
        <w:rFonts w:ascii="Arial" w:hAnsi="Arial" w:hint="default"/>
      </w:rPr>
    </w:lvl>
    <w:lvl w:ilvl="8" w:tplc="D9FE5F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CB3B03"/>
    <w:multiLevelType w:val="multilevel"/>
    <w:tmpl w:val="1FF0AE94"/>
    <w:lvl w:ilvl="0">
      <w:start w:val="1"/>
      <w:numFmt w:val="bullet"/>
      <w:pStyle w:val="Normal-Bullet"/>
      <w:lvlText w:val=""/>
      <w:lvlJc w:val="left"/>
      <w:pPr>
        <w:tabs>
          <w:tab w:val="num" w:pos="1616"/>
        </w:tabs>
        <w:ind w:left="1616" w:hanging="397"/>
      </w:pPr>
      <w:rPr>
        <w:rFonts w:ascii="Symbol" w:hAnsi="Symbol" w:hint="default"/>
      </w:rPr>
    </w:lvl>
    <w:lvl w:ilvl="1">
      <w:start w:val="1"/>
      <w:numFmt w:val="bullet"/>
      <w:lvlText w:val=""/>
      <w:lvlJc w:val="left"/>
      <w:pPr>
        <w:tabs>
          <w:tab w:val="num" w:pos="2013"/>
        </w:tabs>
        <w:ind w:left="2013" w:hanging="397"/>
      </w:pPr>
      <w:rPr>
        <w:rFonts w:ascii="Symbol" w:hAnsi="Symbol" w:hint="default"/>
      </w:rPr>
    </w:lvl>
    <w:lvl w:ilvl="2">
      <w:start w:val="1"/>
      <w:numFmt w:val="bullet"/>
      <w:lvlText w:val=""/>
      <w:lvlJc w:val="left"/>
      <w:pPr>
        <w:tabs>
          <w:tab w:val="num" w:pos="2410"/>
        </w:tabs>
        <w:ind w:left="2410" w:hanging="397"/>
      </w:pPr>
      <w:rPr>
        <w:rFonts w:ascii="Wingdings" w:hAnsi="Wingdings" w:hint="default"/>
      </w:rPr>
    </w:lvl>
    <w:lvl w:ilvl="3">
      <w:start w:val="1"/>
      <w:numFmt w:val="bullet"/>
      <w:lvlText w:val=""/>
      <w:lvlJc w:val="left"/>
      <w:pPr>
        <w:tabs>
          <w:tab w:val="num" w:pos="2807"/>
        </w:tabs>
        <w:ind w:left="2807" w:hanging="397"/>
      </w:pPr>
      <w:rPr>
        <w:rFonts w:ascii="Symbol" w:hAnsi="Symbol" w:hint="default"/>
      </w:rPr>
    </w:lvl>
    <w:lvl w:ilvl="4">
      <w:start w:val="1"/>
      <w:numFmt w:val="bullet"/>
      <w:lvlText w:val=""/>
      <w:lvlJc w:val="left"/>
      <w:pPr>
        <w:tabs>
          <w:tab w:val="num" w:pos="3019"/>
        </w:tabs>
        <w:ind w:left="3019" w:hanging="360"/>
      </w:pPr>
      <w:rPr>
        <w:rFonts w:ascii="Symbol" w:hAnsi="Symbol" w:hint="default"/>
      </w:rPr>
    </w:lvl>
    <w:lvl w:ilvl="5">
      <w:start w:val="1"/>
      <w:numFmt w:val="bullet"/>
      <w:lvlText w:val=""/>
      <w:lvlJc w:val="left"/>
      <w:pPr>
        <w:tabs>
          <w:tab w:val="num" w:pos="3379"/>
        </w:tabs>
        <w:ind w:left="3379" w:hanging="360"/>
      </w:pPr>
      <w:rPr>
        <w:rFonts w:ascii="Wingdings" w:hAnsi="Wingdings" w:hint="default"/>
      </w:rPr>
    </w:lvl>
    <w:lvl w:ilvl="6">
      <w:start w:val="1"/>
      <w:numFmt w:val="bullet"/>
      <w:lvlText w:val=""/>
      <w:lvlJc w:val="left"/>
      <w:pPr>
        <w:tabs>
          <w:tab w:val="num" w:pos="3739"/>
        </w:tabs>
        <w:ind w:left="3739" w:hanging="360"/>
      </w:pPr>
      <w:rPr>
        <w:rFonts w:ascii="Wingdings" w:hAnsi="Wingdings" w:hint="default"/>
      </w:rPr>
    </w:lvl>
    <w:lvl w:ilvl="7">
      <w:start w:val="1"/>
      <w:numFmt w:val="bullet"/>
      <w:lvlText w:val=""/>
      <w:lvlJc w:val="left"/>
      <w:pPr>
        <w:tabs>
          <w:tab w:val="num" w:pos="4099"/>
        </w:tabs>
        <w:ind w:left="4099" w:hanging="360"/>
      </w:pPr>
      <w:rPr>
        <w:rFonts w:ascii="Symbol" w:hAnsi="Symbol" w:hint="default"/>
      </w:rPr>
    </w:lvl>
    <w:lvl w:ilvl="8">
      <w:start w:val="1"/>
      <w:numFmt w:val="bullet"/>
      <w:lvlText w:val=""/>
      <w:lvlJc w:val="left"/>
      <w:pPr>
        <w:tabs>
          <w:tab w:val="num" w:pos="4459"/>
        </w:tabs>
        <w:ind w:left="4459" w:hanging="360"/>
      </w:pPr>
      <w:rPr>
        <w:rFonts w:ascii="Symbol" w:hAnsi="Symbol" w:hint="default"/>
      </w:rPr>
    </w:lvl>
  </w:abstractNum>
  <w:abstractNum w:abstractNumId="5" w15:restartNumberingAfterBreak="0">
    <w:nsid w:val="734C7605"/>
    <w:multiLevelType w:val="multilevel"/>
    <w:tmpl w:val="2C226A52"/>
    <w:lvl w:ilvl="0">
      <w:start w:val="1"/>
      <w:numFmt w:val="decimal"/>
      <w:pStyle w:val="Normal-Numb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1A"/>
    <w:rsid w:val="00005CA2"/>
    <w:rsid w:val="00006E8A"/>
    <w:rsid w:val="00012D35"/>
    <w:rsid w:val="00013831"/>
    <w:rsid w:val="00024008"/>
    <w:rsid w:val="000277B5"/>
    <w:rsid w:val="00036A96"/>
    <w:rsid w:val="00041B61"/>
    <w:rsid w:val="00041B8D"/>
    <w:rsid w:val="00041DA1"/>
    <w:rsid w:val="000440FC"/>
    <w:rsid w:val="00051179"/>
    <w:rsid w:val="00053BF1"/>
    <w:rsid w:val="00054A78"/>
    <w:rsid w:val="00054E89"/>
    <w:rsid w:val="00055B9A"/>
    <w:rsid w:val="00055C9A"/>
    <w:rsid w:val="00062AA5"/>
    <w:rsid w:val="000656B6"/>
    <w:rsid w:val="0006604B"/>
    <w:rsid w:val="00080D38"/>
    <w:rsid w:val="000825F2"/>
    <w:rsid w:val="00082D6A"/>
    <w:rsid w:val="00084805"/>
    <w:rsid w:val="000849CF"/>
    <w:rsid w:val="00091D8B"/>
    <w:rsid w:val="0009300B"/>
    <w:rsid w:val="000A3D29"/>
    <w:rsid w:val="000A58C5"/>
    <w:rsid w:val="000B1E4C"/>
    <w:rsid w:val="000C3707"/>
    <w:rsid w:val="000C658E"/>
    <w:rsid w:val="000D1A44"/>
    <w:rsid w:val="000D309F"/>
    <w:rsid w:val="000D6390"/>
    <w:rsid w:val="000D64F3"/>
    <w:rsid w:val="000E1758"/>
    <w:rsid w:val="000E4250"/>
    <w:rsid w:val="000E7DF1"/>
    <w:rsid w:val="000F1673"/>
    <w:rsid w:val="00105009"/>
    <w:rsid w:val="00113302"/>
    <w:rsid w:val="00114A58"/>
    <w:rsid w:val="001158A7"/>
    <w:rsid w:val="00115DD0"/>
    <w:rsid w:val="00116D2E"/>
    <w:rsid w:val="00117511"/>
    <w:rsid w:val="0012103A"/>
    <w:rsid w:val="00124ADE"/>
    <w:rsid w:val="00127448"/>
    <w:rsid w:val="00132B4F"/>
    <w:rsid w:val="00134968"/>
    <w:rsid w:val="00135835"/>
    <w:rsid w:val="00142F69"/>
    <w:rsid w:val="001445C9"/>
    <w:rsid w:val="0014509E"/>
    <w:rsid w:val="00147D29"/>
    <w:rsid w:val="00155536"/>
    <w:rsid w:val="00155F68"/>
    <w:rsid w:val="00160560"/>
    <w:rsid w:val="00160BB6"/>
    <w:rsid w:val="00160FBE"/>
    <w:rsid w:val="0016327C"/>
    <w:rsid w:val="00173968"/>
    <w:rsid w:val="00176DE0"/>
    <w:rsid w:val="00177D74"/>
    <w:rsid w:val="0018043B"/>
    <w:rsid w:val="00187756"/>
    <w:rsid w:val="0019582F"/>
    <w:rsid w:val="001A01DB"/>
    <w:rsid w:val="001A06A5"/>
    <w:rsid w:val="001A5EF0"/>
    <w:rsid w:val="001A6327"/>
    <w:rsid w:val="001B01D0"/>
    <w:rsid w:val="001B4984"/>
    <w:rsid w:val="001B71E8"/>
    <w:rsid w:val="001B7BF3"/>
    <w:rsid w:val="001C3C4A"/>
    <w:rsid w:val="001C6456"/>
    <w:rsid w:val="001D155E"/>
    <w:rsid w:val="001D7BD7"/>
    <w:rsid w:val="001E3136"/>
    <w:rsid w:val="001E3DAB"/>
    <w:rsid w:val="001F0B3D"/>
    <w:rsid w:val="001F286D"/>
    <w:rsid w:val="001F4432"/>
    <w:rsid w:val="001F7809"/>
    <w:rsid w:val="001F7946"/>
    <w:rsid w:val="002000DE"/>
    <w:rsid w:val="00204339"/>
    <w:rsid w:val="00205871"/>
    <w:rsid w:val="00231A37"/>
    <w:rsid w:val="00233490"/>
    <w:rsid w:val="00235403"/>
    <w:rsid w:val="002368F7"/>
    <w:rsid w:val="00236F90"/>
    <w:rsid w:val="00237107"/>
    <w:rsid w:val="00237573"/>
    <w:rsid w:val="00241AEF"/>
    <w:rsid w:val="0024436D"/>
    <w:rsid w:val="002479B2"/>
    <w:rsid w:val="00247EDF"/>
    <w:rsid w:val="0025257B"/>
    <w:rsid w:val="00252D12"/>
    <w:rsid w:val="002555C3"/>
    <w:rsid w:val="002560A6"/>
    <w:rsid w:val="00256DA6"/>
    <w:rsid w:val="0025733C"/>
    <w:rsid w:val="00262191"/>
    <w:rsid w:val="002624F7"/>
    <w:rsid w:val="00262A4F"/>
    <w:rsid w:val="00266ECF"/>
    <w:rsid w:val="00270821"/>
    <w:rsid w:val="00270A66"/>
    <w:rsid w:val="00272224"/>
    <w:rsid w:val="0028013B"/>
    <w:rsid w:val="0028031F"/>
    <w:rsid w:val="00281411"/>
    <w:rsid w:val="002820E4"/>
    <w:rsid w:val="00282494"/>
    <w:rsid w:val="0028268E"/>
    <w:rsid w:val="00282BA0"/>
    <w:rsid w:val="00286AD2"/>
    <w:rsid w:val="002938F1"/>
    <w:rsid w:val="00294F76"/>
    <w:rsid w:val="00295031"/>
    <w:rsid w:val="00297CFA"/>
    <w:rsid w:val="002A0955"/>
    <w:rsid w:val="002A1433"/>
    <w:rsid w:val="002A14D7"/>
    <w:rsid w:val="002A6055"/>
    <w:rsid w:val="002A62EF"/>
    <w:rsid w:val="002B2EBB"/>
    <w:rsid w:val="002B34B0"/>
    <w:rsid w:val="002B5FC0"/>
    <w:rsid w:val="002C143E"/>
    <w:rsid w:val="002C210F"/>
    <w:rsid w:val="002C539D"/>
    <w:rsid w:val="002C5896"/>
    <w:rsid w:val="002C6BFB"/>
    <w:rsid w:val="002C7C21"/>
    <w:rsid w:val="002C7E84"/>
    <w:rsid w:val="002D1BA0"/>
    <w:rsid w:val="002D4B7C"/>
    <w:rsid w:val="002D5205"/>
    <w:rsid w:val="002D6458"/>
    <w:rsid w:val="002E4142"/>
    <w:rsid w:val="002E4387"/>
    <w:rsid w:val="002E5222"/>
    <w:rsid w:val="002E72FE"/>
    <w:rsid w:val="002F0650"/>
    <w:rsid w:val="002F2F8E"/>
    <w:rsid w:val="002F50DB"/>
    <w:rsid w:val="002F7401"/>
    <w:rsid w:val="002F775F"/>
    <w:rsid w:val="0030142E"/>
    <w:rsid w:val="003111FE"/>
    <w:rsid w:val="00311F70"/>
    <w:rsid w:val="00316735"/>
    <w:rsid w:val="00320FBF"/>
    <w:rsid w:val="00321D5A"/>
    <w:rsid w:val="00324962"/>
    <w:rsid w:val="003279A6"/>
    <w:rsid w:val="0034074C"/>
    <w:rsid w:val="00340EDF"/>
    <w:rsid w:val="00341F38"/>
    <w:rsid w:val="00355DB3"/>
    <w:rsid w:val="00357919"/>
    <w:rsid w:val="003607CE"/>
    <w:rsid w:val="003653AA"/>
    <w:rsid w:val="00372399"/>
    <w:rsid w:val="00374715"/>
    <w:rsid w:val="003800C9"/>
    <w:rsid w:val="003901D4"/>
    <w:rsid w:val="00397B5C"/>
    <w:rsid w:val="003A7A34"/>
    <w:rsid w:val="003B0E1F"/>
    <w:rsid w:val="003B1B60"/>
    <w:rsid w:val="003B28F5"/>
    <w:rsid w:val="003B50EF"/>
    <w:rsid w:val="003B6713"/>
    <w:rsid w:val="003C0116"/>
    <w:rsid w:val="003C3AFC"/>
    <w:rsid w:val="003C6D57"/>
    <w:rsid w:val="003D1086"/>
    <w:rsid w:val="003D2440"/>
    <w:rsid w:val="003D31E1"/>
    <w:rsid w:val="003D5151"/>
    <w:rsid w:val="003D6E2B"/>
    <w:rsid w:val="003E063F"/>
    <w:rsid w:val="003E0C48"/>
    <w:rsid w:val="003E14AD"/>
    <w:rsid w:val="003E29F3"/>
    <w:rsid w:val="003E4977"/>
    <w:rsid w:val="003F6269"/>
    <w:rsid w:val="00403FBF"/>
    <w:rsid w:val="004041A9"/>
    <w:rsid w:val="004066DC"/>
    <w:rsid w:val="004223D3"/>
    <w:rsid w:val="004251E2"/>
    <w:rsid w:val="0043203B"/>
    <w:rsid w:val="00434C37"/>
    <w:rsid w:val="0044011A"/>
    <w:rsid w:val="004442EE"/>
    <w:rsid w:val="00444F0F"/>
    <w:rsid w:val="0045439A"/>
    <w:rsid w:val="00454630"/>
    <w:rsid w:val="00461847"/>
    <w:rsid w:val="00467C8D"/>
    <w:rsid w:val="00474FC6"/>
    <w:rsid w:val="004847BD"/>
    <w:rsid w:val="004877E2"/>
    <w:rsid w:val="0049415F"/>
    <w:rsid w:val="004A4E85"/>
    <w:rsid w:val="004A5597"/>
    <w:rsid w:val="004A6EC8"/>
    <w:rsid w:val="004B1FCF"/>
    <w:rsid w:val="004B3100"/>
    <w:rsid w:val="004B5827"/>
    <w:rsid w:val="004B69FB"/>
    <w:rsid w:val="004C1554"/>
    <w:rsid w:val="004C4A12"/>
    <w:rsid w:val="004C57D0"/>
    <w:rsid w:val="004C5E0F"/>
    <w:rsid w:val="004D1329"/>
    <w:rsid w:val="004D3644"/>
    <w:rsid w:val="004D6B35"/>
    <w:rsid w:val="004E02CA"/>
    <w:rsid w:val="004E0F32"/>
    <w:rsid w:val="004F07D3"/>
    <w:rsid w:val="004F20F6"/>
    <w:rsid w:val="00504016"/>
    <w:rsid w:val="005040AF"/>
    <w:rsid w:val="005046C7"/>
    <w:rsid w:val="00506381"/>
    <w:rsid w:val="00513513"/>
    <w:rsid w:val="005224C8"/>
    <w:rsid w:val="00524960"/>
    <w:rsid w:val="0053159E"/>
    <w:rsid w:val="00533D93"/>
    <w:rsid w:val="00542183"/>
    <w:rsid w:val="005452D2"/>
    <w:rsid w:val="00547E25"/>
    <w:rsid w:val="005542E7"/>
    <w:rsid w:val="00560656"/>
    <w:rsid w:val="0056181A"/>
    <w:rsid w:val="00566318"/>
    <w:rsid w:val="00566FAE"/>
    <w:rsid w:val="0056729D"/>
    <w:rsid w:val="00570AF7"/>
    <w:rsid w:val="00574182"/>
    <w:rsid w:val="005772C9"/>
    <w:rsid w:val="00585F7E"/>
    <w:rsid w:val="00597FE6"/>
    <w:rsid w:val="005A14D7"/>
    <w:rsid w:val="005A3AD9"/>
    <w:rsid w:val="005A7EEB"/>
    <w:rsid w:val="005B2681"/>
    <w:rsid w:val="005B3772"/>
    <w:rsid w:val="005B45A7"/>
    <w:rsid w:val="005B549B"/>
    <w:rsid w:val="005C4FF4"/>
    <w:rsid w:val="005C75A5"/>
    <w:rsid w:val="005D3C36"/>
    <w:rsid w:val="005D7F5A"/>
    <w:rsid w:val="005E0608"/>
    <w:rsid w:val="005E2A82"/>
    <w:rsid w:val="005F1F79"/>
    <w:rsid w:val="005F417B"/>
    <w:rsid w:val="005F7A20"/>
    <w:rsid w:val="00601895"/>
    <w:rsid w:val="00605513"/>
    <w:rsid w:val="00606B74"/>
    <w:rsid w:val="00613593"/>
    <w:rsid w:val="00613E63"/>
    <w:rsid w:val="006149D0"/>
    <w:rsid w:val="0062276A"/>
    <w:rsid w:val="00622D90"/>
    <w:rsid w:val="0063542C"/>
    <w:rsid w:val="00640C9B"/>
    <w:rsid w:val="006412C1"/>
    <w:rsid w:val="00642903"/>
    <w:rsid w:val="00650AA6"/>
    <w:rsid w:val="00652336"/>
    <w:rsid w:val="006634D6"/>
    <w:rsid w:val="0066545B"/>
    <w:rsid w:val="00673A3E"/>
    <w:rsid w:val="0067648E"/>
    <w:rsid w:val="00685837"/>
    <w:rsid w:val="006875A5"/>
    <w:rsid w:val="00687C2D"/>
    <w:rsid w:val="00692A29"/>
    <w:rsid w:val="00694CFE"/>
    <w:rsid w:val="006A0222"/>
    <w:rsid w:val="006A07F3"/>
    <w:rsid w:val="006A38D4"/>
    <w:rsid w:val="006A58D8"/>
    <w:rsid w:val="006B28BB"/>
    <w:rsid w:val="006C218F"/>
    <w:rsid w:val="006C6304"/>
    <w:rsid w:val="006C71A2"/>
    <w:rsid w:val="006D134F"/>
    <w:rsid w:val="006D41F0"/>
    <w:rsid w:val="006D72EA"/>
    <w:rsid w:val="006E6502"/>
    <w:rsid w:val="006F2330"/>
    <w:rsid w:val="0070425E"/>
    <w:rsid w:val="007069DF"/>
    <w:rsid w:val="007118F9"/>
    <w:rsid w:val="00713E43"/>
    <w:rsid w:val="00715D1D"/>
    <w:rsid w:val="0071632A"/>
    <w:rsid w:val="00716383"/>
    <w:rsid w:val="00722219"/>
    <w:rsid w:val="00735492"/>
    <w:rsid w:val="0073617E"/>
    <w:rsid w:val="00740E1D"/>
    <w:rsid w:val="0074163D"/>
    <w:rsid w:val="00743206"/>
    <w:rsid w:val="007455D1"/>
    <w:rsid w:val="00751599"/>
    <w:rsid w:val="00754288"/>
    <w:rsid w:val="007556DF"/>
    <w:rsid w:val="0076172A"/>
    <w:rsid w:val="0076776B"/>
    <w:rsid w:val="00770DA9"/>
    <w:rsid w:val="007901C4"/>
    <w:rsid w:val="00790F5A"/>
    <w:rsid w:val="007913CF"/>
    <w:rsid w:val="00792362"/>
    <w:rsid w:val="007C3584"/>
    <w:rsid w:val="007C3ABD"/>
    <w:rsid w:val="007C5437"/>
    <w:rsid w:val="007C5D63"/>
    <w:rsid w:val="007D0815"/>
    <w:rsid w:val="007D425D"/>
    <w:rsid w:val="007D5D9D"/>
    <w:rsid w:val="007D6CFA"/>
    <w:rsid w:val="007E05E9"/>
    <w:rsid w:val="007E62BA"/>
    <w:rsid w:val="007F1B82"/>
    <w:rsid w:val="007F3107"/>
    <w:rsid w:val="007F34AF"/>
    <w:rsid w:val="007F5C62"/>
    <w:rsid w:val="00800587"/>
    <w:rsid w:val="00801039"/>
    <w:rsid w:val="008013F5"/>
    <w:rsid w:val="00804B7A"/>
    <w:rsid w:val="0080594A"/>
    <w:rsid w:val="00807B5F"/>
    <w:rsid w:val="00814353"/>
    <w:rsid w:val="0082267C"/>
    <w:rsid w:val="00830DE8"/>
    <w:rsid w:val="00832412"/>
    <w:rsid w:val="00834C10"/>
    <w:rsid w:val="008449E8"/>
    <w:rsid w:val="00846AF1"/>
    <w:rsid w:val="00850673"/>
    <w:rsid w:val="00851694"/>
    <w:rsid w:val="008638D4"/>
    <w:rsid w:val="00863EBE"/>
    <w:rsid w:val="00880B4A"/>
    <w:rsid w:val="008931A5"/>
    <w:rsid w:val="008934BB"/>
    <w:rsid w:val="00895151"/>
    <w:rsid w:val="00895F73"/>
    <w:rsid w:val="00897BC9"/>
    <w:rsid w:val="008A18D2"/>
    <w:rsid w:val="008A2EE5"/>
    <w:rsid w:val="008B206F"/>
    <w:rsid w:val="008B3327"/>
    <w:rsid w:val="008B3AAD"/>
    <w:rsid w:val="008B51B5"/>
    <w:rsid w:val="008C057F"/>
    <w:rsid w:val="008C4775"/>
    <w:rsid w:val="008C5D4F"/>
    <w:rsid w:val="008D58C3"/>
    <w:rsid w:val="008E38CA"/>
    <w:rsid w:val="008E401A"/>
    <w:rsid w:val="008E68BB"/>
    <w:rsid w:val="008F5573"/>
    <w:rsid w:val="008F6904"/>
    <w:rsid w:val="00900E4F"/>
    <w:rsid w:val="0090124A"/>
    <w:rsid w:val="00904443"/>
    <w:rsid w:val="00904EF1"/>
    <w:rsid w:val="00906C1A"/>
    <w:rsid w:val="00912A38"/>
    <w:rsid w:val="00912E3A"/>
    <w:rsid w:val="009142D9"/>
    <w:rsid w:val="00917D53"/>
    <w:rsid w:val="00920402"/>
    <w:rsid w:val="009221CF"/>
    <w:rsid w:val="009318A4"/>
    <w:rsid w:val="00931FFA"/>
    <w:rsid w:val="00932602"/>
    <w:rsid w:val="009364ED"/>
    <w:rsid w:val="00940326"/>
    <w:rsid w:val="00940957"/>
    <w:rsid w:val="0094524F"/>
    <w:rsid w:val="00946406"/>
    <w:rsid w:val="009475D1"/>
    <w:rsid w:val="00947A96"/>
    <w:rsid w:val="00950152"/>
    <w:rsid w:val="00951839"/>
    <w:rsid w:val="009519F1"/>
    <w:rsid w:val="00951F57"/>
    <w:rsid w:val="00953325"/>
    <w:rsid w:val="0096092F"/>
    <w:rsid w:val="00962F6C"/>
    <w:rsid w:val="00964598"/>
    <w:rsid w:val="00965437"/>
    <w:rsid w:val="00965F4A"/>
    <w:rsid w:val="00971040"/>
    <w:rsid w:val="00972896"/>
    <w:rsid w:val="00972FAA"/>
    <w:rsid w:val="00981CA1"/>
    <w:rsid w:val="00982C0A"/>
    <w:rsid w:val="00986311"/>
    <w:rsid w:val="00992E36"/>
    <w:rsid w:val="009A5081"/>
    <w:rsid w:val="009B304D"/>
    <w:rsid w:val="009B3C09"/>
    <w:rsid w:val="009B7D7F"/>
    <w:rsid w:val="009C16A9"/>
    <w:rsid w:val="009C270E"/>
    <w:rsid w:val="009C56A0"/>
    <w:rsid w:val="009C59AD"/>
    <w:rsid w:val="009D41BB"/>
    <w:rsid w:val="009D6616"/>
    <w:rsid w:val="009D7255"/>
    <w:rsid w:val="009E0EE7"/>
    <w:rsid w:val="009E1998"/>
    <w:rsid w:val="009E3E34"/>
    <w:rsid w:val="009E4002"/>
    <w:rsid w:val="009E5277"/>
    <w:rsid w:val="009E542B"/>
    <w:rsid w:val="009F3DAA"/>
    <w:rsid w:val="009F5BBC"/>
    <w:rsid w:val="00A04868"/>
    <w:rsid w:val="00A12F8F"/>
    <w:rsid w:val="00A15DC5"/>
    <w:rsid w:val="00A17F51"/>
    <w:rsid w:val="00A24B2D"/>
    <w:rsid w:val="00A40164"/>
    <w:rsid w:val="00A41F05"/>
    <w:rsid w:val="00A436BB"/>
    <w:rsid w:val="00A4472F"/>
    <w:rsid w:val="00A461CE"/>
    <w:rsid w:val="00A47F44"/>
    <w:rsid w:val="00A5212C"/>
    <w:rsid w:val="00A521CB"/>
    <w:rsid w:val="00A5273E"/>
    <w:rsid w:val="00A5638F"/>
    <w:rsid w:val="00A61161"/>
    <w:rsid w:val="00A64037"/>
    <w:rsid w:val="00A70CFB"/>
    <w:rsid w:val="00A73F3E"/>
    <w:rsid w:val="00A761B9"/>
    <w:rsid w:val="00A76BA0"/>
    <w:rsid w:val="00A77A04"/>
    <w:rsid w:val="00A83017"/>
    <w:rsid w:val="00A850B0"/>
    <w:rsid w:val="00A9253D"/>
    <w:rsid w:val="00A934EE"/>
    <w:rsid w:val="00A9794B"/>
    <w:rsid w:val="00AA3481"/>
    <w:rsid w:val="00AA46EB"/>
    <w:rsid w:val="00AA4816"/>
    <w:rsid w:val="00AB78A5"/>
    <w:rsid w:val="00AC65D2"/>
    <w:rsid w:val="00AD38EB"/>
    <w:rsid w:val="00AE0ED6"/>
    <w:rsid w:val="00AE1EC8"/>
    <w:rsid w:val="00AE30A6"/>
    <w:rsid w:val="00AE31D0"/>
    <w:rsid w:val="00AF1211"/>
    <w:rsid w:val="00AF2FDF"/>
    <w:rsid w:val="00B00A43"/>
    <w:rsid w:val="00B00D5D"/>
    <w:rsid w:val="00B01167"/>
    <w:rsid w:val="00B024DD"/>
    <w:rsid w:val="00B0674B"/>
    <w:rsid w:val="00B06811"/>
    <w:rsid w:val="00B06CF6"/>
    <w:rsid w:val="00B113CF"/>
    <w:rsid w:val="00B1141E"/>
    <w:rsid w:val="00B14BB3"/>
    <w:rsid w:val="00B179A8"/>
    <w:rsid w:val="00B24941"/>
    <w:rsid w:val="00B24B0B"/>
    <w:rsid w:val="00B31976"/>
    <w:rsid w:val="00B343F1"/>
    <w:rsid w:val="00B40695"/>
    <w:rsid w:val="00B44051"/>
    <w:rsid w:val="00B4462C"/>
    <w:rsid w:val="00B45BD2"/>
    <w:rsid w:val="00B464D1"/>
    <w:rsid w:val="00B470A4"/>
    <w:rsid w:val="00B619C3"/>
    <w:rsid w:val="00B630D1"/>
    <w:rsid w:val="00B641A6"/>
    <w:rsid w:val="00B720E6"/>
    <w:rsid w:val="00B72C62"/>
    <w:rsid w:val="00B739CE"/>
    <w:rsid w:val="00B75A04"/>
    <w:rsid w:val="00B76DD4"/>
    <w:rsid w:val="00B80F0A"/>
    <w:rsid w:val="00B87214"/>
    <w:rsid w:val="00B9138D"/>
    <w:rsid w:val="00B92B1A"/>
    <w:rsid w:val="00BA015B"/>
    <w:rsid w:val="00BA1E51"/>
    <w:rsid w:val="00BA2DE5"/>
    <w:rsid w:val="00BA3473"/>
    <w:rsid w:val="00BA7F34"/>
    <w:rsid w:val="00BC5C74"/>
    <w:rsid w:val="00BD0943"/>
    <w:rsid w:val="00BE106D"/>
    <w:rsid w:val="00BE1D48"/>
    <w:rsid w:val="00BF2400"/>
    <w:rsid w:val="00BF3264"/>
    <w:rsid w:val="00BF4C06"/>
    <w:rsid w:val="00BF5FD9"/>
    <w:rsid w:val="00BF7763"/>
    <w:rsid w:val="00C12F71"/>
    <w:rsid w:val="00C17BD6"/>
    <w:rsid w:val="00C22E9D"/>
    <w:rsid w:val="00C2331C"/>
    <w:rsid w:val="00C242FC"/>
    <w:rsid w:val="00C272C4"/>
    <w:rsid w:val="00C37B94"/>
    <w:rsid w:val="00C416C5"/>
    <w:rsid w:val="00C425A7"/>
    <w:rsid w:val="00C451A8"/>
    <w:rsid w:val="00C477DB"/>
    <w:rsid w:val="00C47C20"/>
    <w:rsid w:val="00C5174E"/>
    <w:rsid w:val="00C60409"/>
    <w:rsid w:val="00C65E19"/>
    <w:rsid w:val="00C66104"/>
    <w:rsid w:val="00C75B7C"/>
    <w:rsid w:val="00C7649F"/>
    <w:rsid w:val="00C816C3"/>
    <w:rsid w:val="00C86D77"/>
    <w:rsid w:val="00C90AE3"/>
    <w:rsid w:val="00C91DCC"/>
    <w:rsid w:val="00CA148A"/>
    <w:rsid w:val="00CB2E74"/>
    <w:rsid w:val="00CC1CC4"/>
    <w:rsid w:val="00CC4E5F"/>
    <w:rsid w:val="00CC62ED"/>
    <w:rsid w:val="00CD4F1A"/>
    <w:rsid w:val="00CD5AD1"/>
    <w:rsid w:val="00CD7BE7"/>
    <w:rsid w:val="00CF2BBB"/>
    <w:rsid w:val="00CF450F"/>
    <w:rsid w:val="00CF4780"/>
    <w:rsid w:val="00D01753"/>
    <w:rsid w:val="00D0214B"/>
    <w:rsid w:val="00D02A02"/>
    <w:rsid w:val="00D05947"/>
    <w:rsid w:val="00D063E5"/>
    <w:rsid w:val="00D21728"/>
    <w:rsid w:val="00D218BC"/>
    <w:rsid w:val="00D21F11"/>
    <w:rsid w:val="00D24EB2"/>
    <w:rsid w:val="00D26555"/>
    <w:rsid w:val="00D30935"/>
    <w:rsid w:val="00D3700B"/>
    <w:rsid w:val="00D44F1F"/>
    <w:rsid w:val="00D56841"/>
    <w:rsid w:val="00D56F47"/>
    <w:rsid w:val="00D64BF9"/>
    <w:rsid w:val="00D65AC4"/>
    <w:rsid w:val="00D65E34"/>
    <w:rsid w:val="00D665ED"/>
    <w:rsid w:val="00D73179"/>
    <w:rsid w:val="00D75110"/>
    <w:rsid w:val="00D82506"/>
    <w:rsid w:val="00D82734"/>
    <w:rsid w:val="00D845CF"/>
    <w:rsid w:val="00D95010"/>
    <w:rsid w:val="00DA2B8F"/>
    <w:rsid w:val="00DA2E14"/>
    <w:rsid w:val="00DA60ED"/>
    <w:rsid w:val="00DB1450"/>
    <w:rsid w:val="00DB1A91"/>
    <w:rsid w:val="00DB273B"/>
    <w:rsid w:val="00DB412D"/>
    <w:rsid w:val="00DB4552"/>
    <w:rsid w:val="00DB7197"/>
    <w:rsid w:val="00DC5A1C"/>
    <w:rsid w:val="00DD0A9E"/>
    <w:rsid w:val="00DE5825"/>
    <w:rsid w:val="00DE7EAE"/>
    <w:rsid w:val="00DF1D5D"/>
    <w:rsid w:val="00DF6FC4"/>
    <w:rsid w:val="00E041C6"/>
    <w:rsid w:val="00E04257"/>
    <w:rsid w:val="00E05A06"/>
    <w:rsid w:val="00E06E7D"/>
    <w:rsid w:val="00E11369"/>
    <w:rsid w:val="00E11DD2"/>
    <w:rsid w:val="00E1309A"/>
    <w:rsid w:val="00E147A1"/>
    <w:rsid w:val="00E15BD6"/>
    <w:rsid w:val="00E20270"/>
    <w:rsid w:val="00E2124D"/>
    <w:rsid w:val="00E2227B"/>
    <w:rsid w:val="00E30CBD"/>
    <w:rsid w:val="00E41C0C"/>
    <w:rsid w:val="00E4216B"/>
    <w:rsid w:val="00E47423"/>
    <w:rsid w:val="00E50D49"/>
    <w:rsid w:val="00E71A6C"/>
    <w:rsid w:val="00E74DE3"/>
    <w:rsid w:val="00E752D3"/>
    <w:rsid w:val="00E764A0"/>
    <w:rsid w:val="00E82B6A"/>
    <w:rsid w:val="00E8412E"/>
    <w:rsid w:val="00E87D6B"/>
    <w:rsid w:val="00E92687"/>
    <w:rsid w:val="00E93274"/>
    <w:rsid w:val="00E97408"/>
    <w:rsid w:val="00EA0CCC"/>
    <w:rsid w:val="00EA0E86"/>
    <w:rsid w:val="00EA226F"/>
    <w:rsid w:val="00EA2E4A"/>
    <w:rsid w:val="00EA5D08"/>
    <w:rsid w:val="00EA624A"/>
    <w:rsid w:val="00EA6703"/>
    <w:rsid w:val="00EB657D"/>
    <w:rsid w:val="00EC0D92"/>
    <w:rsid w:val="00EC25D7"/>
    <w:rsid w:val="00EC679B"/>
    <w:rsid w:val="00ED423A"/>
    <w:rsid w:val="00EE16D4"/>
    <w:rsid w:val="00EE38AD"/>
    <w:rsid w:val="00EE5589"/>
    <w:rsid w:val="00EF0492"/>
    <w:rsid w:val="00EF1FFE"/>
    <w:rsid w:val="00EF37AD"/>
    <w:rsid w:val="00EF59B1"/>
    <w:rsid w:val="00F14E89"/>
    <w:rsid w:val="00F16602"/>
    <w:rsid w:val="00F21495"/>
    <w:rsid w:val="00F260DC"/>
    <w:rsid w:val="00F26422"/>
    <w:rsid w:val="00F3409C"/>
    <w:rsid w:val="00F36272"/>
    <w:rsid w:val="00F4354D"/>
    <w:rsid w:val="00F5158F"/>
    <w:rsid w:val="00F52E95"/>
    <w:rsid w:val="00F548A4"/>
    <w:rsid w:val="00F54E58"/>
    <w:rsid w:val="00F57A5B"/>
    <w:rsid w:val="00F65370"/>
    <w:rsid w:val="00F701EA"/>
    <w:rsid w:val="00F725AA"/>
    <w:rsid w:val="00F80966"/>
    <w:rsid w:val="00F81917"/>
    <w:rsid w:val="00F91202"/>
    <w:rsid w:val="00F9365A"/>
    <w:rsid w:val="00F94FBB"/>
    <w:rsid w:val="00FA082B"/>
    <w:rsid w:val="00FA6DFA"/>
    <w:rsid w:val="00FB1D44"/>
    <w:rsid w:val="00FC0B60"/>
    <w:rsid w:val="00FC3803"/>
    <w:rsid w:val="00FC6CB8"/>
    <w:rsid w:val="00FD6A98"/>
    <w:rsid w:val="00FE56C9"/>
    <w:rsid w:val="00FF2031"/>
    <w:rsid w:val="00FF4B55"/>
    <w:rsid w:val="00FF5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F95D2F"/>
  <w15:chartTrackingRefBased/>
  <w15:docId w15:val="{AC14E534-237B-4BB0-AA80-14E1DA3C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214"/>
    <w:pPr>
      <w:spacing w:line="260" w:lineRule="atLeast"/>
    </w:pPr>
    <w:rPr>
      <w:rFonts w:ascii="Verdana" w:hAnsi="Verdana"/>
      <w:szCs w:val="24"/>
      <w:lang w:val="en-GB" w:eastAsia="da-DK"/>
    </w:rPr>
  </w:style>
  <w:style w:type="paragraph" w:styleId="Heading1">
    <w:name w:val="heading 1"/>
    <w:basedOn w:val="Normal"/>
    <w:next w:val="Normal"/>
    <w:link w:val="Heading1Char"/>
    <w:qFormat/>
    <w:rsid w:val="00E11369"/>
    <w:pPr>
      <w:keepNext/>
      <w:outlineLvl w:val="0"/>
    </w:pPr>
    <w:rPr>
      <w:rFonts w:cs="Arial"/>
      <w:b/>
      <w:bCs/>
      <w:kern w:val="32"/>
      <w:szCs w:val="32"/>
    </w:rPr>
  </w:style>
  <w:style w:type="paragraph" w:styleId="Heading2">
    <w:name w:val="heading 2"/>
    <w:basedOn w:val="Heading1"/>
    <w:next w:val="Normal"/>
    <w:link w:val="Heading2Char"/>
    <w:qFormat/>
    <w:rsid w:val="009519F1"/>
    <w:pPr>
      <w:outlineLvl w:val="1"/>
    </w:pPr>
  </w:style>
  <w:style w:type="paragraph" w:styleId="Heading3">
    <w:name w:val="heading 3"/>
    <w:basedOn w:val="Heading2"/>
    <w:next w:val="Normal"/>
    <w:link w:val="Heading3Char"/>
    <w:qFormat/>
    <w:rsid w:val="009519F1"/>
    <w:pPr>
      <w:outlineLvl w:val="2"/>
    </w:pPr>
  </w:style>
  <w:style w:type="paragraph" w:styleId="Heading4">
    <w:name w:val="heading 4"/>
    <w:basedOn w:val="Normal"/>
    <w:next w:val="Normal"/>
    <w:link w:val="Heading4Char"/>
    <w:qFormat/>
    <w:rsid w:val="00C12F71"/>
    <w:pPr>
      <w:keepNext/>
      <w:tabs>
        <w:tab w:val="num" w:pos="822"/>
      </w:tabs>
      <w:spacing w:line="240" w:lineRule="atLeast"/>
      <w:ind w:left="822" w:hanging="822"/>
      <w:outlineLvl w:val="3"/>
    </w:pPr>
    <w:rPr>
      <w:rFonts w:ascii="Georgia" w:hAnsi="Georgia"/>
      <w:bCs/>
      <w:szCs w:val="28"/>
    </w:rPr>
  </w:style>
  <w:style w:type="paragraph" w:styleId="Heading5">
    <w:name w:val="heading 5"/>
    <w:basedOn w:val="Normal"/>
    <w:next w:val="Normal"/>
    <w:link w:val="Heading5Char1"/>
    <w:qFormat/>
    <w:rsid w:val="00C12F71"/>
    <w:pPr>
      <w:keepNext/>
      <w:tabs>
        <w:tab w:val="num" w:pos="1276"/>
      </w:tabs>
      <w:spacing w:line="240" w:lineRule="atLeast"/>
      <w:ind w:left="1276" w:hanging="454"/>
      <w:outlineLvl w:val="4"/>
    </w:pPr>
    <w:rPr>
      <w:rFonts w:ascii="Georgia" w:hAnsi="Georgia"/>
      <w:bCs/>
      <w:iCs/>
      <w:szCs w:val="26"/>
    </w:rPr>
  </w:style>
  <w:style w:type="paragraph" w:styleId="Heading6">
    <w:name w:val="heading 6"/>
    <w:basedOn w:val="Normal"/>
    <w:next w:val="Normal"/>
    <w:link w:val="Heading6Char"/>
    <w:qFormat/>
    <w:rsid w:val="00C12F71"/>
    <w:pPr>
      <w:keepNext/>
      <w:tabs>
        <w:tab w:val="num" w:pos="1729"/>
      </w:tabs>
      <w:spacing w:line="240" w:lineRule="atLeast"/>
      <w:ind w:left="1730" w:hanging="454"/>
      <w:outlineLvl w:val="5"/>
    </w:pPr>
    <w:rPr>
      <w:rFonts w:ascii="Georgia" w:hAnsi="Georgia"/>
      <w:bCs/>
      <w:szCs w:val="22"/>
    </w:rPr>
  </w:style>
  <w:style w:type="paragraph" w:styleId="Heading7">
    <w:name w:val="heading 7"/>
    <w:basedOn w:val="Normal"/>
    <w:next w:val="Normal"/>
    <w:link w:val="Heading7Char"/>
    <w:qFormat/>
    <w:rsid w:val="00C12F71"/>
    <w:pPr>
      <w:tabs>
        <w:tab w:val="num" w:pos="4677"/>
      </w:tabs>
      <w:spacing w:before="240" w:after="60" w:line="240" w:lineRule="atLeast"/>
      <w:ind w:left="4320"/>
      <w:outlineLvl w:val="6"/>
    </w:pPr>
    <w:rPr>
      <w:rFonts w:ascii="Times New Roman" w:hAnsi="Times New Roman"/>
      <w:sz w:val="24"/>
    </w:rPr>
  </w:style>
  <w:style w:type="paragraph" w:styleId="Heading8">
    <w:name w:val="heading 8"/>
    <w:basedOn w:val="Normal"/>
    <w:next w:val="Normal"/>
    <w:link w:val="Heading8Char"/>
    <w:qFormat/>
    <w:rsid w:val="00C12F71"/>
    <w:pPr>
      <w:tabs>
        <w:tab w:val="num" w:pos="5397"/>
      </w:tabs>
      <w:spacing w:before="240" w:after="60" w:line="240" w:lineRule="atLeast"/>
      <w:ind w:left="5040"/>
      <w:outlineLvl w:val="7"/>
    </w:pPr>
    <w:rPr>
      <w:rFonts w:ascii="Times New Roman" w:hAnsi="Times New Roman"/>
      <w:i/>
      <w:iCs/>
      <w:sz w:val="24"/>
    </w:rPr>
  </w:style>
  <w:style w:type="paragraph" w:styleId="Heading9">
    <w:name w:val="heading 9"/>
    <w:basedOn w:val="Normal"/>
    <w:next w:val="Normal"/>
    <w:link w:val="Heading9Char"/>
    <w:qFormat/>
    <w:rsid w:val="00C12F71"/>
    <w:pPr>
      <w:tabs>
        <w:tab w:val="num" w:pos="6117"/>
      </w:tabs>
      <w:spacing w:before="240" w:after="60" w:line="240" w:lineRule="atLeast"/>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9F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5D08"/>
    <w:pPr>
      <w:tabs>
        <w:tab w:val="center" w:pos="4819"/>
        <w:tab w:val="right" w:pos="9638"/>
      </w:tabs>
      <w:spacing w:line="220" w:lineRule="atLeast"/>
    </w:pPr>
    <w:rPr>
      <w:sz w:val="14"/>
    </w:rPr>
  </w:style>
  <w:style w:type="paragraph" w:styleId="Footer">
    <w:name w:val="footer"/>
    <w:basedOn w:val="Normal"/>
    <w:rsid w:val="00EA5D08"/>
    <w:pPr>
      <w:tabs>
        <w:tab w:val="center" w:pos="4819"/>
        <w:tab w:val="right" w:pos="9638"/>
      </w:tabs>
      <w:spacing w:line="220" w:lineRule="atLeast"/>
    </w:pPr>
    <w:rPr>
      <w:sz w:val="14"/>
    </w:rPr>
  </w:style>
  <w:style w:type="paragraph" w:customStyle="1" w:styleId="Template">
    <w:name w:val="Template"/>
    <w:semiHidden/>
    <w:rsid w:val="00241AEF"/>
    <w:pPr>
      <w:spacing w:line="220" w:lineRule="atLeast"/>
    </w:pPr>
    <w:rPr>
      <w:rFonts w:ascii="Verdana" w:hAnsi="Verdana"/>
      <w:noProof/>
      <w:sz w:val="14"/>
      <w:szCs w:val="24"/>
      <w:lang w:val="en-GB" w:eastAsia="da-DK"/>
    </w:rPr>
  </w:style>
  <w:style w:type="paragraph" w:customStyle="1" w:styleId="Template-Dato">
    <w:name w:val="Template - Dato"/>
    <w:basedOn w:val="Template"/>
    <w:semiHidden/>
    <w:rsid w:val="00FB1D44"/>
  </w:style>
  <w:style w:type="paragraph" w:customStyle="1" w:styleId="Template-Address">
    <w:name w:val="Template - Address"/>
    <w:basedOn w:val="Template"/>
    <w:semiHidden/>
    <w:rsid w:val="00FB1D44"/>
  </w:style>
  <w:style w:type="character" w:styleId="PageNumber">
    <w:name w:val="page number"/>
    <w:rsid w:val="00024008"/>
    <w:rPr>
      <w:rFonts w:ascii="Verdana" w:hAnsi="Verdana"/>
      <w:sz w:val="14"/>
    </w:rPr>
  </w:style>
  <w:style w:type="paragraph" w:customStyle="1" w:styleId="Template-Companyname">
    <w:name w:val="Template - Company name"/>
    <w:basedOn w:val="Template"/>
    <w:semiHidden/>
    <w:rsid w:val="007C3584"/>
    <w:rPr>
      <w:b/>
    </w:rPr>
  </w:style>
  <w:style w:type="paragraph" w:styleId="BalloonText">
    <w:name w:val="Balloon Text"/>
    <w:basedOn w:val="Normal"/>
    <w:semiHidden/>
    <w:rsid w:val="00964598"/>
    <w:rPr>
      <w:rFonts w:ascii="Tahoma" w:hAnsi="Tahoma" w:cs="Tahoma"/>
      <w:sz w:val="16"/>
      <w:szCs w:val="16"/>
    </w:rPr>
  </w:style>
  <w:style w:type="paragraph" w:customStyle="1" w:styleId="Normal-Bullet">
    <w:name w:val="Normal - Bullet"/>
    <w:basedOn w:val="Normal"/>
    <w:rsid w:val="006D41F0"/>
    <w:pPr>
      <w:numPr>
        <w:numId w:val="1"/>
      </w:numPr>
      <w:spacing w:line="240" w:lineRule="atLeast"/>
    </w:pPr>
    <w:rPr>
      <w:lang w:eastAsia="en-US"/>
    </w:rPr>
  </w:style>
  <w:style w:type="paragraph" w:customStyle="1" w:styleId="Normal-Brevoverskrift">
    <w:name w:val="Normal - Brevoverskrift"/>
    <w:basedOn w:val="Normal"/>
    <w:rsid w:val="00E11369"/>
    <w:rPr>
      <w:b/>
    </w:rPr>
  </w:style>
  <w:style w:type="paragraph" w:customStyle="1" w:styleId="Normal-Senderinfo">
    <w:name w:val="Normal - Sender info"/>
    <w:basedOn w:val="Normal"/>
    <w:rsid w:val="00B87214"/>
    <w:pPr>
      <w:spacing w:line="220" w:lineRule="atLeast"/>
    </w:pPr>
    <w:rPr>
      <w:sz w:val="14"/>
    </w:rPr>
  </w:style>
  <w:style w:type="paragraph" w:customStyle="1" w:styleId="Normal-Numbering">
    <w:name w:val="Normal - Numbering"/>
    <w:basedOn w:val="Normal"/>
    <w:rsid w:val="006D41F0"/>
    <w:pPr>
      <w:numPr>
        <w:numId w:val="2"/>
      </w:numPr>
      <w:spacing w:line="240" w:lineRule="atLeast"/>
    </w:pPr>
    <w:rPr>
      <w:lang w:eastAsia="en-US"/>
    </w:rPr>
  </w:style>
  <w:style w:type="character" w:customStyle="1" w:styleId="Heading4Char">
    <w:name w:val="Heading 4 Char"/>
    <w:link w:val="Heading4"/>
    <w:rsid w:val="00C12F71"/>
    <w:rPr>
      <w:rFonts w:ascii="Georgia" w:hAnsi="Georgia"/>
      <w:bCs/>
      <w:szCs w:val="28"/>
      <w:lang w:val="en-GB"/>
    </w:rPr>
  </w:style>
  <w:style w:type="character" w:customStyle="1" w:styleId="Heading5Char">
    <w:name w:val="Heading 5 Char"/>
    <w:semiHidden/>
    <w:rsid w:val="00C12F71"/>
    <w:rPr>
      <w:rFonts w:ascii="Cambria" w:eastAsia="Times New Roman" w:hAnsi="Cambria" w:cs="Times New Roman"/>
      <w:color w:val="243F60"/>
      <w:szCs w:val="24"/>
      <w:lang w:val="en-GB"/>
    </w:rPr>
  </w:style>
  <w:style w:type="character" w:customStyle="1" w:styleId="Heading6Char">
    <w:name w:val="Heading 6 Char"/>
    <w:link w:val="Heading6"/>
    <w:rsid w:val="00C12F71"/>
    <w:rPr>
      <w:rFonts w:ascii="Georgia" w:hAnsi="Georgia"/>
      <w:bCs/>
      <w:szCs w:val="22"/>
      <w:lang w:val="en-GB"/>
    </w:rPr>
  </w:style>
  <w:style w:type="character" w:customStyle="1" w:styleId="Heading7Char">
    <w:name w:val="Heading 7 Char"/>
    <w:link w:val="Heading7"/>
    <w:rsid w:val="00C12F71"/>
    <w:rPr>
      <w:sz w:val="24"/>
      <w:szCs w:val="24"/>
      <w:lang w:val="en-GB"/>
    </w:rPr>
  </w:style>
  <w:style w:type="character" w:customStyle="1" w:styleId="Heading8Char">
    <w:name w:val="Heading 8 Char"/>
    <w:link w:val="Heading8"/>
    <w:rsid w:val="00C12F71"/>
    <w:rPr>
      <w:i/>
      <w:iCs/>
      <w:sz w:val="24"/>
      <w:szCs w:val="24"/>
      <w:lang w:val="en-GB"/>
    </w:rPr>
  </w:style>
  <w:style w:type="character" w:customStyle="1" w:styleId="Heading9Char">
    <w:name w:val="Heading 9 Char"/>
    <w:link w:val="Heading9"/>
    <w:rsid w:val="00C12F71"/>
    <w:rPr>
      <w:rFonts w:ascii="Arial" w:hAnsi="Arial" w:cs="Arial"/>
      <w:sz w:val="22"/>
      <w:szCs w:val="22"/>
      <w:lang w:val="en-GB"/>
    </w:rPr>
  </w:style>
  <w:style w:type="character" w:customStyle="1" w:styleId="Heading1Char">
    <w:name w:val="Heading 1 Char"/>
    <w:link w:val="Heading1"/>
    <w:rsid w:val="00C12F71"/>
    <w:rPr>
      <w:rFonts w:ascii="Verdana" w:hAnsi="Verdana" w:cs="Arial"/>
      <w:b/>
      <w:bCs/>
      <w:kern w:val="32"/>
      <w:szCs w:val="32"/>
      <w:lang w:val="en-GB"/>
    </w:rPr>
  </w:style>
  <w:style w:type="paragraph" w:customStyle="1" w:styleId="1">
    <w:name w:val="1"/>
    <w:link w:val="FodnotetekstTegn"/>
    <w:uiPriority w:val="99"/>
    <w:unhideWhenUsed/>
    <w:rsid w:val="00C12F71"/>
    <w:pPr>
      <w:spacing w:line="240" w:lineRule="atLeast"/>
    </w:pPr>
  </w:style>
  <w:style w:type="character" w:customStyle="1" w:styleId="FodnotetekstTegn">
    <w:name w:val="Fodnotetekst Tegn"/>
    <w:link w:val="1"/>
    <w:uiPriority w:val="99"/>
    <w:rsid w:val="00C12F71"/>
    <w:rPr>
      <w:lang w:eastAsia="en-US"/>
    </w:rPr>
  </w:style>
  <w:style w:type="character" w:customStyle="1" w:styleId="Heading2Char">
    <w:name w:val="Heading 2 Char"/>
    <w:link w:val="Heading2"/>
    <w:rsid w:val="00C12F71"/>
    <w:rPr>
      <w:rFonts w:ascii="Verdana" w:hAnsi="Verdana" w:cs="Arial"/>
      <w:b/>
      <w:bCs/>
      <w:kern w:val="32"/>
      <w:szCs w:val="32"/>
      <w:lang w:val="en-GB"/>
    </w:rPr>
  </w:style>
  <w:style w:type="character" w:customStyle="1" w:styleId="Heading3Char">
    <w:name w:val="Heading 3 Char"/>
    <w:link w:val="Heading3"/>
    <w:rsid w:val="00C12F71"/>
    <w:rPr>
      <w:rFonts w:ascii="Verdana" w:hAnsi="Verdana" w:cs="Arial"/>
      <w:b/>
      <w:bCs/>
      <w:kern w:val="32"/>
      <w:szCs w:val="32"/>
      <w:lang w:val="en-GB"/>
    </w:rPr>
  </w:style>
  <w:style w:type="character" w:customStyle="1" w:styleId="Heading5Char1">
    <w:name w:val="Heading 5 Char1"/>
    <w:link w:val="Heading5"/>
    <w:rsid w:val="00C12F71"/>
    <w:rPr>
      <w:rFonts w:ascii="Georgia" w:hAnsi="Georgia"/>
      <w:bCs/>
      <w:iCs/>
      <w:szCs w:val="26"/>
      <w:lang w:val="en-GB"/>
    </w:rPr>
  </w:style>
  <w:style w:type="paragraph" w:customStyle="1" w:styleId="ForsideOverSkriftGr">
    <w:name w:val="ForsideOverSkriftGrå"/>
    <w:basedOn w:val="Normal"/>
    <w:next w:val="ForsideUnderOverSkriftGr"/>
    <w:rsid w:val="00C12F71"/>
    <w:pPr>
      <w:spacing w:line="240" w:lineRule="atLeast"/>
      <w:ind w:left="-822"/>
    </w:pPr>
    <w:rPr>
      <w:rFonts w:ascii="Georgia" w:hAnsi="Georgia"/>
      <w:color w:val="5F5F5D"/>
      <w:sz w:val="36"/>
      <w:szCs w:val="36"/>
      <w:lang w:eastAsia="en-GB"/>
    </w:rPr>
  </w:style>
  <w:style w:type="paragraph" w:customStyle="1" w:styleId="ForsideUnderOverSkriftGr">
    <w:name w:val="ForsideUnderOverSkriftGrå"/>
    <w:basedOn w:val="Normal"/>
    <w:next w:val="Normal"/>
    <w:rsid w:val="00C12F71"/>
    <w:pPr>
      <w:spacing w:line="240" w:lineRule="atLeast"/>
      <w:ind w:left="-822"/>
    </w:pPr>
    <w:rPr>
      <w:rFonts w:ascii="Georgia" w:hAnsi="Georgia"/>
      <w:color w:val="5F5F5D"/>
      <w:sz w:val="24"/>
      <w:lang w:eastAsia="en-GB"/>
    </w:rPr>
  </w:style>
  <w:style w:type="paragraph" w:customStyle="1" w:styleId="Niveau2">
    <w:name w:val="Niveau 2"/>
    <w:basedOn w:val="Heading2"/>
    <w:rsid w:val="00C12F71"/>
    <w:pPr>
      <w:keepNext w:val="0"/>
      <w:numPr>
        <w:ilvl w:val="1"/>
      </w:numPr>
      <w:tabs>
        <w:tab w:val="num" w:pos="822"/>
      </w:tabs>
      <w:spacing w:after="240" w:line="240" w:lineRule="atLeast"/>
      <w:ind w:left="822" w:hanging="822"/>
    </w:pPr>
    <w:rPr>
      <w:rFonts w:ascii="Georgia" w:hAnsi="Georgia"/>
      <w:b w:val="0"/>
      <w:iCs/>
      <w:kern w:val="0"/>
      <w:szCs w:val="28"/>
    </w:rPr>
  </w:style>
  <w:style w:type="character" w:styleId="Hyperlink">
    <w:name w:val="Hyperlink"/>
    <w:uiPriority w:val="99"/>
    <w:rsid w:val="00C12F71"/>
    <w:rPr>
      <w:color w:val="0000FF"/>
      <w:u w:val="single"/>
    </w:rPr>
  </w:style>
  <w:style w:type="paragraph" w:styleId="FootnoteText">
    <w:name w:val="footnote text"/>
    <w:basedOn w:val="Normal"/>
    <w:link w:val="FootnoteTextChar"/>
    <w:rsid w:val="00C12F71"/>
    <w:pPr>
      <w:spacing w:line="240" w:lineRule="auto"/>
    </w:pPr>
    <w:rPr>
      <w:szCs w:val="20"/>
    </w:rPr>
  </w:style>
  <w:style w:type="character" w:customStyle="1" w:styleId="FootnoteTextChar">
    <w:name w:val="Footnote Text Char"/>
    <w:link w:val="FootnoteText"/>
    <w:rsid w:val="00C12F71"/>
    <w:rPr>
      <w:rFonts w:ascii="Verdana" w:hAnsi="Verdana"/>
      <w:lang w:val="en-GB"/>
    </w:rPr>
  </w:style>
  <w:style w:type="character" w:styleId="FootnoteReference">
    <w:name w:val="footnote reference"/>
    <w:rsid w:val="00C12F71"/>
    <w:rPr>
      <w:vertAlign w:val="superscript"/>
    </w:rPr>
  </w:style>
  <w:style w:type="character" w:styleId="CommentReference">
    <w:name w:val="annotation reference"/>
    <w:rsid w:val="00932602"/>
    <w:rPr>
      <w:sz w:val="16"/>
      <w:szCs w:val="16"/>
    </w:rPr>
  </w:style>
  <w:style w:type="paragraph" w:styleId="CommentText">
    <w:name w:val="annotation text"/>
    <w:basedOn w:val="Normal"/>
    <w:link w:val="CommentTextChar"/>
    <w:rsid w:val="00932602"/>
    <w:pPr>
      <w:spacing w:line="240" w:lineRule="auto"/>
    </w:pPr>
    <w:rPr>
      <w:szCs w:val="20"/>
    </w:rPr>
  </w:style>
  <w:style w:type="character" w:customStyle="1" w:styleId="CommentTextChar">
    <w:name w:val="Comment Text Char"/>
    <w:link w:val="CommentText"/>
    <w:rsid w:val="00932602"/>
    <w:rPr>
      <w:rFonts w:ascii="Verdana" w:hAnsi="Verdana"/>
      <w:lang w:val="en-GB"/>
    </w:rPr>
  </w:style>
  <w:style w:type="paragraph" w:styleId="CommentSubject">
    <w:name w:val="annotation subject"/>
    <w:basedOn w:val="CommentText"/>
    <w:next w:val="CommentText"/>
    <w:link w:val="CommentSubjectChar"/>
    <w:rsid w:val="00932602"/>
    <w:rPr>
      <w:b/>
      <w:bCs/>
    </w:rPr>
  </w:style>
  <w:style w:type="character" w:customStyle="1" w:styleId="CommentSubjectChar">
    <w:name w:val="Comment Subject Char"/>
    <w:link w:val="CommentSubject"/>
    <w:rsid w:val="00932602"/>
    <w:rPr>
      <w:rFonts w:ascii="Verdana" w:hAnsi="Verdana"/>
      <w:b/>
      <w:bCs/>
      <w:lang w:val="en-GB"/>
    </w:rPr>
  </w:style>
  <w:style w:type="paragraph" w:styleId="ListParagraph">
    <w:name w:val="List Paragraph"/>
    <w:basedOn w:val="Normal"/>
    <w:uiPriority w:val="34"/>
    <w:qFormat/>
    <w:rsid w:val="00316735"/>
    <w:pPr>
      <w:ind w:left="720"/>
      <w:contextualSpacing/>
    </w:pPr>
  </w:style>
  <w:style w:type="table" w:styleId="GridTable5Dark">
    <w:name w:val="Grid Table 5 Dark"/>
    <w:basedOn w:val="TableNormal"/>
    <w:uiPriority w:val="50"/>
    <w:rsid w:val="002F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F50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2F50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60FBE"/>
    <w:pPr>
      <w:autoSpaceDE w:val="0"/>
      <w:autoSpaceDN w:val="0"/>
      <w:adjustRightInd w:val="0"/>
    </w:pPr>
    <w:rPr>
      <w:rFonts w:ascii="Coloplast" w:hAnsi="Coloplast" w:cs="Coloplast"/>
      <w:color w:val="000000"/>
      <w:sz w:val="24"/>
      <w:szCs w:val="24"/>
    </w:rPr>
  </w:style>
  <w:style w:type="paragraph" w:styleId="Revision">
    <w:name w:val="Revision"/>
    <w:hidden/>
    <w:uiPriority w:val="99"/>
    <w:semiHidden/>
    <w:rsid w:val="006D72EA"/>
    <w:rPr>
      <w:rFonts w:ascii="Verdana" w:hAnsi="Verdana"/>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2011">
      <w:bodyDiv w:val="1"/>
      <w:marLeft w:val="0"/>
      <w:marRight w:val="0"/>
      <w:marTop w:val="0"/>
      <w:marBottom w:val="0"/>
      <w:divBdr>
        <w:top w:val="none" w:sz="0" w:space="0" w:color="auto"/>
        <w:left w:val="none" w:sz="0" w:space="0" w:color="auto"/>
        <w:bottom w:val="none" w:sz="0" w:space="0" w:color="auto"/>
        <w:right w:val="none" w:sz="0" w:space="0" w:color="auto"/>
      </w:divBdr>
      <w:divsChild>
        <w:div w:id="2053963799">
          <w:marLeft w:val="274"/>
          <w:marRight w:val="0"/>
          <w:marTop w:val="0"/>
          <w:marBottom w:val="0"/>
          <w:divBdr>
            <w:top w:val="none" w:sz="0" w:space="0" w:color="auto"/>
            <w:left w:val="none" w:sz="0" w:space="0" w:color="auto"/>
            <w:bottom w:val="none" w:sz="0" w:space="0" w:color="auto"/>
            <w:right w:val="none" w:sz="0" w:space="0" w:color="auto"/>
          </w:divBdr>
        </w:div>
      </w:divsChild>
    </w:div>
    <w:div w:id="603146499">
      <w:bodyDiv w:val="1"/>
      <w:marLeft w:val="0"/>
      <w:marRight w:val="0"/>
      <w:marTop w:val="0"/>
      <w:marBottom w:val="0"/>
      <w:divBdr>
        <w:top w:val="none" w:sz="0" w:space="0" w:color="auto"/>
        <w:left w:val="none" w:sz="0" w:space="0" w:color="auto"/>
        <w:bottom w:val="none" w:sz="0" w:space="0" w:color="auto"/>
        <w:right w:val="none" w:sz="0" w:space="0" w:color="auto"/>
      </w:divBdr>
    </w:div>
    <w:div w:id="915046285">
      <w:bodyDiv w:val="1"/>
      <w:marLeft w:val="0"/>
      <w:marRight w:val="0"/>
      <w:marTop w:val="0"/>
      <w:marBottom w:val="0"/>
      <w:divBdr>
        <w:top w:val="none" w:sz="0" w:space="0" w:color="auto"/>
        <w:left w:val="none" w:sz="0" w:space="0" w:color="auto"/>
        <w:bottom w:val="none" w:sz="0" w:space="0" w:color="auto"/>
        <w:right w:val="none" w:sz="0" w:space="0" w:color="auto"/>
      </w:divBdr>
      <w:divsChild>
        <w:div w:id="59166399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flsmidth.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AFB8C1B72E24AACE6174F3571B731" ma:contentTypeVersion="10" ma:contentTypeDescription="Create a new document." ma:contentTypeScope="" ma:versionID="0d7fa510e166836fe2d1db1d2559f0bc">
  <xsd:schema xmlns:xsd="http://www.w3.org/2001/XMLSchema" xmlns:xs="http://www.w3.org/2001/XMLSchema" xmlns:p="http://schemas.microsoft.com/office/2006/metadata/properties" xmlns:ns3="8888b5f6-ac40-4e95-bcf9-a7f7328e45d7" targetNamespace="http://schemas.microsoft.com/office/2006/metadata/properties" ma:root="true" ma:fieldsID="cdfe85b9466d94af9fd64218c79351cd" ns3:_="">
    <xsd:import namespace="8888b5f6-ac40-4e95-bcf9-a7f7328e45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8b5f6-ac40-4e95-bcf9-a7f7328e4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BAB6-32B3-4FF8-9820-87B43290D878}">
  <ds:schemaRefs>
    <ds:schemaRef ds:uri="http://schemas.microsoft.com/sharepoint/v3/contenttype/forms"/>
  </ds:schemaRefs>
</ds:datastoreItem>
</file>

<file path=customXml/itemProps2.xml><?xml version="1.0" encoding="utf-8"?>
<ds:datastoreItem xmlns:ds="http://schemas.openxmlformats.org/officeDocument/2006/customXml" ds:itemID="{44433E02-B621-4760-8CE2-5F828BAB35D3}">
  <ds:schemaRefs>
    <ds:schemaRef ds:uri="http://schemas.microsoft.com/office/2006/metadata/properties"/>
    <ds:schemaRef ds:uri="8888b5f6-ac40-4e95-bcf9-a7f7328e45d7"/>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9E88F08-E5FE-4489-9E21-EED254736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8b5f6-ac40-4e95-bcf9-a7f7328e4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34A5C-DB86-41BF-87A5-52F72B07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2410</Words>
  <Characters>16372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Links>
    <vt:vector size="18" baseType="variant">
      <vt:variant>
        <vt:i4>5046355</vt:i4>
      </vt:variant>
      <vt:variant>
        <vt:i4>21</vt:i4>
      </vt:variant>
      <vt:variant>
        <vt:i4>0</vt:i4>
      </vt:variant>
      <vt:variant>
        <vt:i4>5</vt:i4>
      </vt:variant>
      <vt:variant>
        <vt:lpwstr>http://www.flsmidth.com/</vt:lpwstr>
      </vt:variant>
      <vt:variant>
        <vt:lpwstr/>
      </vt:variant>
      <vt:variant>
        <vt:i4>5046355</vt:i4>
      </vt:variant>
      <vt:variant>
        <vt:i4>18</vt:i4>
      </vt:variant>
      <vt:variant>
        <vt:i4>0</vt:i4>
      </vt:variant>
      <vt:variant>
        <vt:i4>5</vt:i4>
      </vt:variant>
      <vt:variant>
        <vt:lpwstr>http://www.flsmidth.com/</vt:lpwstr>
      </vt:variant>
      <vt:variant>
        <vt:lpwstr/>
      </vt:variant>
      <vt:variant>
        <vt:i4>5046355</vt:i4>
      </vt:variant>
      <vt:variant>
        <vt:i4>0</vt:i4>
      </vt:variant>
      <vt:variant>
        <vt:i4>0</vt:i4>
      </vt:variant>
      <vt:variant>
        <vt:i4>5</vt:i4>
      </vt:variant>
      <vt:variant>
        <vt:lpwstr>http://www.flsmidth.com/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Wellejus</dc:creator>
  <cp:keywords/>
  <dc:description/>
  <cp:lastModifiedBy>Pernille Alnor</cp:lastModifiedBy>
  <cp:revision>6</cp:revision>
  <cp:lastPrinted>2020-02-11T12:49:00Z</cp:lastPrinted>
  <dcterms:created xsi:type="dcterms:W3CDTF">2020-02-11T12:47:00Z</dcterms:created>
  <dcterms:modified xsi:type="dcterms:W3CDTF">2020-06-02T09:35:00Z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0x010100F96AFB8C1B72E24AACE6174F3571B731</vt:lpwstr>
  </property>
</Properties>
</file>